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464F" w14:textId="77777777" w:rsidR="00D73336" w:rsidRDefault="00D73336" w:rsidP="00D73336">
      <w:pPr>
        <w:rPr>
          <w:rFonts w:ascii="Calibri" w:eastAsia="Calibri" w:hAnsi="Calibri" w:cs="Calibri"/>
          <w:color w:val="333333"/>
        </w:rPr>
      </w:pPr>
    </w:p>
    <w:p w14:paraId="3D5263A7" w14:textId="77777777" w:rsidR="00FE2BD6" w:rsidRDefault="00FE2BD6" w:rsidP="00D73336">
      <w:pPr>
        <w:rPr>
          <w:rFonts w:ascii="Calibri" w:eastAsia="Calibri" w:hAnsi="Calibri" w:cs="Calibri"/>
          <w:color w:val="333333"/>
        </w:rPr>
      </w:pPr>
    </w:p>
    <w:p w14:paraId="19ADA298" w14:textId="08ABAE82" w:rsidR="00D73336" w:rsidRDefault="00D73336" w:rsidP="00D73336">
      <w:pPr>
        <w:rPr>
          <w:rFonts w:ascii="Calibri" w:eastAsia="Calibri" w:hAnsi="Calibri" w:cs="Calibri"/>
          <w:color w:val="333333"/>
        </w:rPr>
      </w:pPr>
      <w:r>
        <w:rPr>
          <w:rFonts w:ascii="Calibri" w:eastAsia="Calibri" w:hAnsi="Calibri" w:cs="Calibri"/>
          <w:color w:val="333333"/>
        </w:rPr>
        <w:t xml:space="preserve">Federal Trade Commission </w:t>
      </w:r>
    </w:p>
    <w:p w14:paraId="354355D2" w14:textId="77777777" w:rsidR="00D73336" w:rsidRDefault="00D73336" w:rsidP="00D73336">
      <w:pPr>
        <w:rPr>
          <w:rFonts w:ascii="Calibri" w:eastAsia="Calibri" w:hAnsi="Calibri" w:cs="Calibri"/>
          <w:color w:val="333333"/>
        </w:rPr>
      </w:pPr>
      <w:r>
        <w:rPr>
          <w:rFonts w:ascii="Calibri" w:eastAsia="Calibri" w:hAnsi="Calibri" w:cs="Calibri"/>
          <w:color w:val="333333"/>
        </w:rPr>
        <w:t>600 Pennsylvania Avenue, NW</w:t>
      </w:r>
    </w:p>
    <w:p w14:paraId="73402065" w14:textId="77777777" w:rsidR="00D73336" w:rsidRDefault="00D73336" w:rsidP="00D73336">
      <w:pPr>
        <w:rPr>
          <w:rFonts w:ascii="Calibri" w:eastAsia="Calibri" w:hAnsi="Calibri" w:cs="Calibri"/>
          <w:color w:val="333333"/>
        </w:rPr>
      </w:pPr>
      <w:r>
        <w:rPr>
          <w:rFonts w:ascii="Calibri" w:eastAsia="Calibri" w:hAnsi="Calibri" w:cs="Calibri"/>
          <w:color w:val="333333"/>
        </w:rPr>
        <w:t>Washington, DC 20580</w:t>
      </w:r>
    </w:p>
    <w:p w14:paraId="7E27AAFD" w14:textId="77777777" w:rsidR="00D73336" w:rsidRDefault="00D73336" w:rsidP="00D73336">
      <w:pPr>
        <w:rPr>
          <w:rFonts w:ascii="Calibri" w:eastAsia="Calibri" w:hAnsi="Calibri" w:cs="Calibri"/>
        </w:rPr>
      </w:pPr>
    </w:p>
    <w:p w14:paraId="52D7A61E" w14:textId="77777777" w:rsidR="00D73336" w:rsidRDefault="00D73336" w:rsidP="00D73336">
      <w:pPr>
        <w:rPr>
          <w:rFonts w:ascii="Calibri" w:eastAsia="Calibri" w:hAnsi="Calibri" w:cs="Calibri"/>
        </w:rPr>
      </w:pPr>
      <w:r>
        <w:rPr>
          <w:rFonts w:ascii="Calibri" w:eastAsia="Calibri" w:hAnsi="Calibri" w:cs="Calibri"/>
        </w:rPr>
        <w:t>By Electronic Mail (</w:t>
      </w:r>
      <w:hyperlink r:id="rId7">
        <w:r>
          <w:rPr>
            <w:rFonts w:ascii="Calibri" w:eastAsia="Calibri" w:hAnsi="Calibri" w:cs="Calibri"/>
            <w:color w:val="1155CC"/>
            <w:u w:val="single"/>
          </w:rPr>
          <w:t>vgraham@ftc.gov</w:t>
        </w:r>
      </w:hyperlink>
      <w:r>
        <w:rPr>
          <w:rFonts w:ascii="Calibri" w:eastAsia="Calibri" w:hAnsi="Calibri" w:cs="Calibri"/>
        </w:rPr>
        <w:t xml:space="preserve">) </w:t>
      </w:r>
    </w:p>
    <w:p w14:paraId="360CB0A1" w14:textId="77777777" w:rsidR="00D73336" w:rsidRDefault="00D73336" w:rsidP="00D73336">
      <w:pPr>
        <w:rPr>
          <w:rFonts w:ascii="Calibri" w:eastAsia="Calibri" w:hAnsi="Calibri" w:cs="Calibri"/>
        </w:rPr>
      </w:pPr>
    </w:p>
    <w:p w14:paraId="1FE0E143" w14:textId="77777777" w:rsidR="00D73336" w:rsidRDefault="00D73336" w:rsidP="00D73336">
      <w:pPr>
        <w:rPr>
          <w:rFonts w:ascii="Calibri" w:eastAsia="Calibri" w:hAnsi="Calibri" w:cs="Calibri"/>
        </w:rPr>
      </w:pPr>
      <w:r>
        <w:rPr>
          <w:rFonts w:ascii="Calibri" w:eastAsia="Calibri" w:hAnsi="Calibri" w:cs="Calibri"/>
        </w:rPr>
        <w:t xml:space="preserve">Re: Pharmacy Collective Bargaining Exemption to Current Antitrust Laws </w:t>
      </w:r>
    </w:p>
    <w:p w14:paraId="112E99D7" w14:textId="77777777" w:rsidR="00D73336" w:rsidRDefault="00D73336" w:rsidP="00D73336">
      <w:pPr>
        <w:jc w:val="both"/>
        <w:rPr>
          <w:rFonts w:ascii="Calibri" w:eastAsia="Calibri" w:hAnsi="Calibri" w:cs="Calibri"/>
        </w:rPr>
      </w:pPr>
    </w:p>
    <w:p w14:paraId="43D0800F" w14:textId="77777777" w:rsidR="00D73336" w:rsidRDefault="00D73336" w:rsidP="00D73336">
      <w:pPr>
        <w:jc w:val="both"/>
        <w:rPr>
          <w:rFonts w:ascii="Calibri" w:eastAsia="Calibri" w:hAnsi="Calibri" w:cs="Calibri"/>
        </w:rPr>
      </w:pPr>
      <w:r>
        <w:rPr>
          <w:rFonts w:ascii="Calibri" w:eastAsia="Calibri" w:hAnsi="Calibri" w:cs="Calibri"/>
        </w:rPr>
        <w:t>August 24, 2023</w:t>
      </w:r>
    </w:p>
    <w:p w14:paraId="30CD86B5" w14:textId="77777777" w:rsidR="00D73336" w:rsidRDefault="00D73336" w:rsidP="00D73336">
      <w:pPr>
        <w:jc w:val="both"/>
        <w:rPr>
          <w:rFonts w:ascii="Calibri" w:eastAsia="Calibri" w:hAnsi="Calibri" w:cs="Calibri"/>
        </w:rPr>
      </w:pPr>
    </w:p>
    <w:p w14:paraId="57B59DA0" w14:textId="77777777" w:rsidR="00D73336" w:rsidRDefault="00D73336" w:rsidP="00D73336">
      <w:pPr>
        <w:jc w:val="both"/>
        <w:rPr>
          <w:rFonts w:ascii="Calibri" w:eastAsia="Calibri" w:hAnsi="Calibri" w:cs="Calibri"/>
        </w:rPr>
      </w:pPr>
      <w:r>
        <w:rPr>
          <w:rFonts w:ascii="Calibri" w:eastAsia="Calibri" w:hAnsi="Calibri" w:cs="Calibri"/>
        </w:rPr>
        <w:t>Dear Commissioner Khan,</w:t>
      </w:r>
    </w:p>
    <w:p w14:paraId="6D6CF517" w14:textId="77777777" w:rsidR="00D73336" w:rsidRDefault="00D73336" w:rsidP="00D73336">
      <w:pPr>
        <w:jc w:val="both"/>
        <w:rPr>
          <w:rFonts w:ascii="Calibri" w:eastAsia="Calibri" w:hAnsi="Calibri" w:cs="Calibri"/>
        </w:rPr>
      </w:pPr>
    </w:p>
    <w:p w14:paraId="080357C3" w14:textId="77777777" w:rsidR="00D73336" w:rsidRDefault="00D73336" w:rsidP="00D73336">
      <w:pPr>
        <w:jc w:val="both"/>
        <w:rPr>
          <w:rFonts w:ascii="Calibri" w:eastAsia="Calibri" w:hAnsi="Calibri" w:cs="Calibri"/>
          <w:color w:val="0A0A0A"/>
        </w:rPr>
      </w:pPr>
      <w:r>
        <w:rPr>
          <w:rFonts w:ascii="Calibri" w:eastAsia="Calibri" w:hAnsi="Calibri" w:cs="Calibri"/>
          <w:color w:val="0A0A0A"/>
        </w:rPr>
        <w:t>Northeast Pharmacy Service Corporation (NPSC) is a pharmacy service administrative organization (PSAO) that provides services to independent community pharmacies in New England with group purchasing opportunities, third party consultation, advocacy, regulatory affairs along with education and training on new business development.</w:t>
      </w:r>
    </w:p>
    <w:p w14:paraId="034A969B" w14:textId="77777777" w:rsidR="00D73336" w:rsidRDefault="00D73336" w:rsidP="00D73336">
      <w:pPr>
        <w:jc w:val="both"/>
        <w:rPr>
          <w:rFonts w:ascii="Calibri" w:eastAsia="Calibri" w:hAnsi="Calibri" w:cs="Calibri"/>
          <w:color w:val="0A0A0A"/>
        </w:rPr>
      </w:pPr>
    </w:p>
    <w:p w14:paraId="5F8065B7" w14:textId="77777777" w:rsidR="00D73336" w:rsidRPr="00FE7D5C" w:rsidRDefault="00D73336" w:rsidP="00D73336">
      <w:pPr>
        <w:jc w:val="both"/>
        <w:rPr>
          <w:rFonts w:ascii="Calibri" w:eastAsia="Calibri" w:hAnsi="Calibri" w:cs="Calibri"/>
        </w:rPr>
      </w:pPr>
      <w:r w:rsidRPr="00FE7D5C">
        <w:rPr>
          <w:rFonts w:ascii="Calibri" w:eastAsia="Calibri" w:hAnsi="Calibri" w:cs="Calibri"/>
        </w:rPr>
        <w:t xml:space="preserve">On behalf of NPSC and its participating pharmacies, we would like to bring to your attention an issue that has been problematic for many years in the pharmacy community.  If the FTC would allow this exemption, we would see stabilization of patient care in the U.S. along with the leveling of a currently uneven marketplace.  A marketplace that has been severely out of balance due to the nation’s largest pharmaceutical benefits managers (PBMs). </w:t>
      </w:r>
    </w:p>
    <w:p w14:paraId="5BCAFA2B" w14:textId="77777777" w:rsidR="00D73336" w:rsidRPr="00FE7D5C" w:rsidRDefault="00D73336" w:rsidP="00D73336">
      <w:pPr>
        <w:jc w:val="both"/>
        <w:rPr>
          <w:rFonts w:ascii="Calibri" w:eastAsia="Calibri" w:hAnsi="Calibri" w:cs="Calibri"/>
        </w:rPr>
      </w:pPr>
    </w:p>
    <w:p w14:paraId="14EC288D" w14:textId="77777777" w:rsidR="00D73336" w:rsidRPr="00FE7D5C" w:rsidRDefault="00D73336" w:rsidP="00D73336">
      <w:pPr>
        <w:jc w:val="both"/>
        <w:rPr>
          <w:rFonts w:ascii="Calibri" w:eastAsia="Calibri" w:hAnsi="Calibri" w:cs="Calibri"/>
        </w:rPr>
      </w:pPr>
      <w:r w:rsidRPr="00FE7D5C">
        <w:rPr>
          <w:rFonts w:ascii="Calibri" w:eastAsia="Calibri" w:hAnsi="Calibri" w:cs="Calibri"/>
        </w:rPr>
        <w:t xml:space="preserve">Since the FTC has remained virtually silent until now on most pharmaceutical antitrust matters, independent community pharmacists have tried unsuccessfully to ban together to amplify their buying power as an answer to unchecked PBMs. Both attempts were through Congressional legislation.  It has not been effective. </w:t>
      </w:r>
    </w:p>
    <w:p w14:paraId="42DC7666" w14:textId="77777777" w:rsidR="00D73336" w:rsidRPr="00FE7D5C" w:rsidRDefault="00D73336" w:rsidP="00D73336">
      <w:pPr>
        <w:jc w:val="both"/>
        <w:rPr>
          <w:rFonts w:ascii="Calibri" w:eastAsia="Calibri" w:hAnsi="Calibri" w:cs="Calibri"/>
        </w:rPr>
      </w:pPr>
    </w:p>
    <w:p w14:paraId="1EB70458" w14:textId="77777777" w:rsidR="00D73336" w:rsidRPr="00FE7D5C" w:rsidRDefault="00D73336" w:rsidP="00D73336">
      <w:pPr>
        <w:jc w:val="both"/>
        <w:rPr>
          <w:rFonts w:ascii="Calibri" w:eastAsia="Calibri" w:hAnsi="Calibri" w:cs="Calibri"/>
        </w:rPr>
      </w:pPr>
      <w:r w:rsidRPr="00FE7D5C">
        <w:rPr>
          <w:rFonts w:ascii="Calibri" w:eastAsia="Calibri" w:hAnsi="Calibri" w:cs="Calibri"/>
        </w:rPr>
        <w:t xml:space="preserve">Starting with the 110th Congress, pharmacy tried to introduce an important exemption to antitrust law that failed to advance due to Congressional pressure exerted by PBMs. </w:t>
      </w:r>
      <w:hyperlink r:id="rId8">
        <w:r w:rsidRPr="00FE7D5C">
          <w:rPr>
            <w:rFonts w:ascii="Calibri" w:eastAsia="Calibri" w:hAnsi="Calibri" w:cs="Calibri"/>
            <w:u w:val="single"/>
          </w:rPr>
          <w:t>H.R. 971</w:t>
        </w:r>
      </w:hyperlink>
      <w:r w:rsidRPr="00FE7D5C">
        <w:rPr>
          <w:rFonts w:ascii="Calibri" w:eastAsia="Calibri" w:hAnsi="Calibri" w:cs="Calibri"/>
        </w:rPr>
        <w:t xml:space="preserve"> titled the “Community Fairness Act of 2007”.  The 111th Congress </w:t>
      </w:r>
      <w:hyperlink r:id="rId9">
        <w:r w:rsidRPr="00FE7D5C">
          <w:rPr>
            <w:rFonts w:ascii="Calibri" w:eastAsia="Calibri" w:hAnsi="Calibri" w:cs="Calibri"/>
            <w:u w:val="single"/>
          </w:rPr>
          <w:t>H.R. 1204</w:t>
        </w:r>
      </w:hyperlink>
      <w:r w:rsidRPr="00FE7D5C">
        <w:rPr>
          <w:rFonts w:ascii="Calibri" w:eastAsia="Calibri" w:hAnsi="Calibri" w:cs="Calibri"/>
        </w:rPr>
        <w:t xml:space="preserve"> titled the “Community Fairness Act of 2009”, sought to give independent pharmacies the </w:t>
      </w:r>
      <w:r w:rsidRPr="00FE7D5C">
        <w:rPr>
          <w:rFonts w:ascii="Calibri" w:eastAsia="Calibri" w:hAnsi="Calibri" w:cs="Calibri"/>
          <w:highlight w:val="white"/>
        </w:rPr>
        <w:t>right to band together to collectively negotiate for better terms with managed-care prescription plans.</w:t>
      </w:r>
      <w:r w:rsidRPr="00FE7D5C">
        <w:rPr>
          <w:rFonts w:ascii="Calibri" w:eastAsia="Calibri" w:hAnsi="Calibri" w:cs="Calibri"/>
        </w:rPr>
        <w:t xml:space="preserve">  </w:t>
      </w:r>
    </w:p>
    <w:p w14:paraId="38FFE040" w14:textId="77777777" w:rsidR="00D73336" w:rsidRDefault="00D73336" w:rsidP="00D73336">
      <w:pPr>
        <w:jc w:val="both"/>
        <w:rPr>
          <w:rFonts w:ascii="Calibri" w:eastAsia="Calibri" w:hAnsi="Calibri" w:cs="Calibri"/>
        </w:rPr>
      </w:pPr>
    </w:p>
    <w:p w14:paraId="7071C5A8" w14:textId="02DB7ABA" w:rsidR="00D73336" w:rsidRPr="00FE7D5C" w:rsidRDefault="00D73336" w:rsidP="00D73336">
      <w:pPr>
        <w:jc w:val="both"/>
        <w:rPr>
          <w:rFonts w:ascii="Calibri" w:eastAsia="Calibri" w:hAnsi="Calibri" w:cs="Calibri"/>
          <w:highlight w:val="white"/>
        </w:rPr>
      </w:pPr>
      <w:r w:rsidRPr="00FE7D5C">
        <w:rPr>
          <w:rFonts w:ascii="Calibri" w:eastAsia="Calibri" w:hAnsi="Calibri" w:cs="Calibri"/>
        </w:rPr>
        <w:t xml:space="preserve">Pharmacy still believes that the ideals represented in these bills are still viable today!  Setting aside antitrust </w:t>
      </w:r>
      <w:r w:rsidRPr="00FE7D5C">
        <w:rPr>
          <w:rFonts w:ascii="Calibri" w:eastAsia="Calibri" w:hAnsi="Calibri" w:cs="Calibri"/>
          <w:highlight w:val="white"/>
        </w:rPr>
        <w:t xml:space="preserve">restrictions that prevent community pharmacy owners from negotiating with pharmacy benefit management plans, would help give independent pharmacies the </w:t>
      </w:r>
      <w:proofErr w:type="gramStart"/>
      <w:r w:rsidRPr="00FE7D5C">
        <w:rPr>
          <w:rFonts w:ascii="Calibri" w:eastAsia="Calibri" w:hAnsi="Calibri" w:cs="Calibri"/>
          <w:highlight w:val="white"/>
        </w:rPr>
        <w:t>much needed</w:t>
      </w:r>
      <w:proofErr w:type="gramEnd"/>
      <w:r w:rsidRPr="00FE7D5C">
        <w:rPr>
          <w:rFonts w:ascii="Calibri" w:eastAsia="Calibri" w:hAnsi="Calibri" w:cs="Calibri"/>
          <w:highlight w:val="white"/>
        </w:rPr>
        <w:t xml:space="preserve"> ammunition to survive the onslaught of abusive PBM practices. </w:t>
      </w:r>
    </w:p>
    <w:p w14:paraId="57B8A8CE" w14:textId="77777777" w:rsidR="00D73336" w:rsidRPr="00FE7D5C" w:rsidRDefault="00D73336" w:rsidP="00D73336">
      <w:pPr>
        <w:jc w:val="both"/>
        <w:rPr>
          <w:rFonts w:ascii="Calibri" w:eastAsia="Calibri" w:hAnsi="Calibri" w:cs="Calibri"/>
          <w:highlight w:val="white"/>
        </w:rPr>
      </w:pPr>
    </w:p>
    <w:p w14:paraId="2CA4F950" w14:textId="77777777" w:rsidR="0070514A" w:rsidRDefault="0070514A" w:rsidP="00D73336">
      <w:pPr>
        <w:jc w:val="both"/>
        <w:rPr>
          <w:rFonts w:ascii="Calibri" w:eastAsia="Calibri" w:hAnsi="Calibri" w:cs="Calibri"/>
          <w:highlight w:val="white"/>
        </w:rPr>
      </w:pPr>
    </w:p>
    <w:p w14:paraId="3FA11945" w14:textId="77777777" w:rsidR="0070514A" w:rsidRDefault="0070514A" w:rsidP="00D73336">
      <w:pPr>
        <w:jc w:val="both"/>
        <w:rPr>
          <w:rFonts w:ascii="Calibri" w:eastAsia="Calibri" w:hAnsi="Calibri" w:cs="Calibri"/>
          <w:highlight w:val="white"/>
        </w:rPr>
      </w:pPr>
    </w:p>
    <w:p w14:paraId="1D0B6083" w14:textId="77777777" w:rsidR="0070514A" w:rsidRDefault="0070514A" w:rsidP="00D73336">
      <w:pPr>
        <w:jc w:val="both"/>
        <w:rPr>
          <w:rFonts w:ascii="Calibri" w:eastAsia="Calibri" w:hAnsi="Calibri" w:cs="Calibri"/>
          <w:highlight w:val="white"/>
        </w:rPr>
      </w:pPr>
    </w:p>
    <w:p w14:paraId="18570689" w14:textId="77777777" w:rsidR="0070514A" w:rsidRDefault="0070514A" w:rsidP="00D73336">
      <w:pPr>
        <w:jc w:val="both"/>
        <w:rPr>
          <w:rFonts w:ascii="Calibri" w:eastAsia="Calibri" w:hAnsi="Calibri" w:cs="Calibri"/>
          <w:highlight w:val="white"/>
        </w:rPr>
      </w:pPr>
    </w:p>
    <w:p w14:paraId="7768C071" w14:textId="77777777" w:rsidR="00FE2BD6" w:rsidRDefault="00FE2BD6" w:rsidP="00D73336">
      <w:pPr>
        <w:jc w:val="both"/>
        <w:rPr>
          <w:rFonts w:ascii="Calibri" w:eastAsia="Calibri" w:hAnsi="Calibri" w:cs="Calibri"/>
          <w:highlight w:val="white"/>
        </w:rPr>
      </w:pPr>
    </w:p>
    <w:p w14:paraId="6230BA87" w14:textId="427AADC2" w:rsidR="00D73336" w:rsidRPr="00FE7D5C" w:rsidRDefault="00D73336" w:rsidP="00D73336">
      <w:pPr>
        <w:jc w:val="both"/>
        <w:rPr>
          <w:rFonts w:ascii="Calibri" w:eastAsia="Calibri" w:hAnsi="Calibri" w:cs="Calibri"/>
          <w:highlight w:val="white"/>
        </w:rPr>
      </w:pPr>
      <w:r w:rsidRPr="00FE7D5C">
        <w:rPr>
          <w:rFonts w:ascii="Calibri" w:eastAsia="Calibri" w:hAnsi="Calibri" w:cs="Calibri"/>
          <w:highlight w:val="white"/>
        </w:rPr>
        <w:t xml:space="preserve">The </w:t>
      </w:r>
      <w:proofErr w:type="gramStart"/>
      <w:r w:rsidRPr="00FE7D5C">
        <w:rPr>
          <w:rFonts w:ascii="Calibri" w:eastAsia="Calibri" w:hAnsi="Calibri" w:cs="Calibri"/>
          <w:highlight w:val="white"/>
        </w:rPr>
        <w:t>aforementioned bills</w:t>
      </w:r>
      <w:proofErr w:type="gramEnd"/>
      <w:r w:rsidRPr="00FE7D5C">
        <w:rPr>
          <w:rFonts w:ascii="Calibri" w:eastAsia="Calibri" w:hAnsi="Calibri" w:cs="Calibri"/>
          <w:highlight w:val="white"/>
        </w:rPr>
        <w:t xml:space="preserve"> proposed the following: </w:t>
      </w:r>
    </w:p>
    <w:p w14:paraId="0270C921" w14:textId="77777777" w:rsidR="00D73336" w:rsidRPr="00FE7D5C" w:rsidRDefault="00D73336" w:rsidP="00D73336">
      <w:pPr>
        <w:jc w:val="both"/>
        <w:rPr>
          <w:rFonts w:ascii="Calibri" w:eastAsia="Calibri" w:hAnsi="Calibri" w:cs="Calibri"/>
          <w:highlight w:val="white"/>
        </w:rPr>
      </w:pPr>
    </w:p>
    <w:p w14:paraId="3BE0A2AC" w14:textId="77777777" w:rsidR="00D73336" w:rsidRPr="00FE7D5C" w:rsidRDefault="00D73336" w:rsidP="00D73336">
      <w:pPr>
        <w:numPr>
          <w:ilvl w:val="0"/>
          <w:numId w:val="1"/>
        </w:numPr>
        <w:jc w:val="both"/>
        <w:rPr>
          <w:rFonts w:ascii="Calibri" w:eastAsia="Calibri" w:hAnsi="Calibri" w:cs="Calibri"/>
          <w:i/>
          <w:highlight w:val="white"/>
        </w:rPr>
      </w:pPr>
      <w:r w:rsidRPr="00FE7D5C">
        <w:rPr>
          <w:rFonts w:ascii="Calibri" w:eastAsia="Calibri" w:hAnsi="Calibri" w:cs="Calibri"/>
          <w:i/>
          <w:highlight w:val="white"/>
        </w:rPr>
        <w:t xml:space="preserve">Limit pharmacy negotiating pools to 25% of market share in a Medicare Part D </w:t>
      </w:r>
      <w:proofErr w:type="gramStart"/>
      <w:r w:rsidRPr="00FE7D5C">
        <w:rPr>
          <w:rFonts w:ascii="Calibri" w:eastAsia="Calibri" w:hAnsi="Calibri" w:cs="Calibri"/>
          <w:i/>
          <w:highlight w:val="white"/>
        </w:rPr>
        <w:t>region</w:t>
      </w:r>
      <w:proofErr w:type="gramEnd"/>
    </w:p>
    <w:p w14:paraId="33CD765B" w14:textId="77777777" w:rsidR="00D73336" w:rsidRPr="00FE7D5C" w:rsidRDefault="00D73336" w:rsidP="00D73336">
      <w:pPr>
        <w:numPr>
          <w:ilvl w:val="0"/>
          <w:numId w:val="1"/>
        </w:numPr>
        <w:jc w:val="both"/>
        <w:rPr>
          <w:rFonts w:ascii="Calibri" w:eastAsia="Calibri" w:hAnsi="Calibri" w:cs="Calibri"/>
          <w:i/>
          <w:highlight w:val="white"/>
        </w:rPr>
      </w:pPr>
      <w:r w:rsidRPr="00FE7D5C">
        <w:rPr>
          <w:rFonts w:ascii="Calibri" w:eastAsia="Calibri" w:hAnsi="Calibri" w:cs="Calibri"/>
          <w:i/>
          <w:highlight w:val="white"/>
        </w:rPr>
        <w:t xml:space="preserve">Define an independent pharmacy as one with less than 10% of market share of a prescription drug plan region, as defined under Part D regulations, and less than 1% of market share of the United </w:t>
      </w:r>
      <w:proofErr w:type="gramStart"/>
      <w:r w:rsidRPr="00FE7D5C">
        <w:rPr>
          <w:rFonts w:ascii="Calibri" w:eastAsia="Calibri" w:hAnsi="Calibri" w:cs="Calibri"/>
          <w:i/>
          <w:highlight w:val="white"/>
        </w:rPr>
        <w:t>States;</w:t>
      </w:r>
      <w:proofErr w:type="gramEnd"/>
    </w:p>
    <w:p w14:paraId="6C4251AE" w14:textId="77777777" w:rsidR="00D73336" w:rsidRPr="00FE7D5C" w:rsidRDefault="00D73336" w:rsidP="00D73336">
      <w:pPr>
        <w:numPr>
          <w:ilvl w:val="0"/>
          <w:numId w:val="1"/>
        </w:numPr>
        <w:jc w:val="both"/>
        <w:rPr>
          <w:rFonts w:ascii="Calibri" w:eastAsia="Calibri" w:hAnsi="Calibri" w:cs="Calibri"/>
          <w:i/>
          <w:highlight w:val="white"/>
        </w:rPr>
      </w:pPr>
      <w:r w:rsidRPr="00FE7D5C">
        <w:rPr>
          <w:rFonts w:ascii="Calibri" w:eastAsia="Calibri" w:hAnsi="Calibri" w:cs="Calibri"/>
          <w:i/>
          <w:highlight w:val="white"/>
        </w:rPr>
        <w:t xml:space="preserve">Provide a five-year sunset clause from the bill’s </w:t>
      </w:r>
      <w:proofErr w:type="gramStart"/>
      <w:r w:rsidRPr="00FE7D5C">
        <w:rPr>
          <w:rFonts w:ascii="Calibri" w:eastAsia="Calibri" w:hAnsi="Calibri" w:cs="Calibri"/>
          <w:i/>
          <w:highlight w:val="white"/>
        </w:rPr>
        <w:t>passage;</w:t>
      </w:r>
      <w:proofErr w:type="gramEnd"/>
    </w:p>
    <w:p w14:paraId="47446B22" w14:textId="77777777" w:rsidR="00D73336" w:rsidRPr="00FE7D5C" w:rsidRDefault="00D73336" w:rsidP="00D73336">
      <w:pPr>
        <w:numPr>
          <w:ilvl w:val="0"/>
          <w:numId w:val="1"/>
        </w:numPr>
        <w:spacing w:after="380"/>
        <w:jc w:val="both"/>
        <w:rPr>
          <w:rFonts w:ascii="Calibri" w:eastAsia="Calibri" w:hAnsi="Calibri" w:cs="Calibri"/>
          <w:i/>
          <w:highlight w:val="white"/>
        </w:rPr>
      </w:pPr>
      <w:r w:rsidRPr="00FE7D5C">
        <w:rPr>
          <w:rFonts w:ascii="Calibri" w:eastAsia="Calibri" w:hAnsi="Calibri" w:cs="Calibri"/>
          <w:i/>
          <w:highlight w:val="white"/>
        </w:rPr>
        <w:t>Mandate a Government Accountability Office study six months before sunset of the law to examine its impact on the marketplace.</w:t>
      </w:r>
    </w:p>
    <w:p w14:paraId="26CED8FC" w14:textId="77777777" w:rsidR="00D73336" w:rsidRPr="00FE7D5C" w:rsidRDefault="00D73336" w:rsidP="00D73336">
      <w:pPr>
        <w:jc w:val="both"/>
        <w:rPr>
          <w:rFonts w:ascii="Calibri" w:eastAsia="Calibri" w:hAnsi="Calibri" w:cs="Calibri"/>
          <w:highlight w:val="white"/>
        </w:rPr>
      </w:pPr>
      <w:r w:rsidRPr="00FE7D5C">
        <w:rPr>
          <w:rFonts w:ascii="Calibri" w:eastAsia="Calibri" w:hAnsi="Calibri" w:cs="Calibri"/>
          <w:highlight w:val="white"/>
        </w:rPr>
        <w:t xml:space="preserve">Pharmacists believe that a policy like this is needed and would serve as an appropriate response to the current “take it or leave it” contracts.  PBMs and payers use their large market influence </w:t>
      </w:r>
      <w:proofErr w:type="gramStart"/>
      <w:r w:rsidRPr="00FE7D5C">
        <w:rPr>
          <w:rFonts w:ascii="Calibri" w:eastAsia="Calibri" w:hAnsi="Calibri" w:cs="Calibri"/>
          <w:highlight w:val="white"/>
        </w:rPr>
        <w:t>to</w:t>
      </w:r>
      <w:proofErr w:type="gramEnd"/>
      <w:r w:rsidRPr="00FE7D5C">
        <w:rPr>
          <w:rFonts w:ascii="Calibri" w:eastAsia="Calibri" w:hAnsi="Calibri" w:cs="Calibri"/>
          <w:highlight w:val="white"/>
        </w:rPr>
        <w:t xml:space="preserve"> subject pharmacies to onerous contract terms coupled with low reimbursement rates, knowing that pharmacies must sign these contracts or risk losing their patients to PBM owned pharmacies. Collective bargaining by community pharmacies would allow pharmacies and indirectly patients, take control of treatment options and set our country on a better and more predictable course of lowering drug costs while improving patient outcomes.  </w:t>
      </w:r>
    </w:p>
    <w:p w14:paraId="68670905" w14:textId="77777777" w:rsidR="00D73336" w:rsidRPr="00FE7D5C" w:rsidRDefault="00D73336" w:rsidP="00D73336">
      <w:pPr>
        <w:jc w:val="both"/>
        <w:rPr>
          <w:rFonts w:ascii="Calibri" w:eastAsia="Calibri" w:hAnsi="Calibri" w:cs="Calibri"/>
          <w:highlight w:val="white"/>
        </w:rPr>
      </w:pPr>
    </w:p>
    <w:p w14:paraId="53D1FDF9" w14:textId="77777777" w:rsidR="00D73336" w:rsidRPr="00FE7D5C" w:rsidRDefault="00D73336" w:rsidP="00D73336">
      <w:pPr>
        <w:jc w:val="both"/>
        <w:rPr>
          <w:rFonts w:ascii="Calibri" w:eastAsia="Calibri" w:hAnsi="Calibri" w:cs="Calibri"/>
        </w:rPr>
      </w:pPr>
      <w:r w:rsidRPr="00FE7D5C">
        <w:rPr>
          <w:rFonts w:ascii="Calibri" w:eastAsia="Calibri" w:hAnsi="Calibri" w:cs="Calibri"/>
        </w:rPr>
        <w:t xml:space="preserve">While we understand that we have been discussing legislation and that you need legislation to act, we hope that this letter can serve as an impetus for the FTC to sponsor a bill that encompasses collective bargaining for pharmacies, or that a regulatory scheme can be found that would allow for an antitrust exemption to allow collective bargaining for pharmacies. Doing so would allow pharmacy the chance to compete appropriately without having the pharmacy industry’s terms dictated to them. </w:t>
      </w:r>
    </w:p>
    <w:p w14:paraId="3A092EA5" w14:textId="77777777" w:rsidR="00D73336" w:rsidRPr="00FE7D5C" w:rsidRDefault="00D73336" w:rsidP="00D73336">
      <w:pPr>
        <w:jc w:val="both"/>
        <w:rPr>
          <w:rFonts w:ascii="Calibri" w:eastAsia="Calibri" w:hAnsi="Calibri" w:cs="Calibri"/>
        </w:rPr>
      </w:pPr>
    </w:p>
    <w:p w14:paraId="0D4F4D15" w14:textId="77777777" w:rsidR="00D73336" w:rsidRPr="00FE7D5C" w:rsidRDefault="00D73336" w:rsidP="00D73336">
      <w:pPr>
        <w:jc w:val="both"/>
        <w:rPr>
          <w:rFonts w:ascii="Calibri" w:eastAsia="Calibri" w:hAnsi="Calibri" w:cs="Calibri"/>
        </w:rPr>
      </w:pPr>
      <w:r w:rsidRPr="00FE7D5C">
        <w:rPr>
          <w:rFonts w:ascii="Calibri" w:eastAsia="Calibri" w:hAnsi="Calibri" w:cs="Calibri"/>
        </w:rPr>
        <w:t>Allowing this to go unaddressed will pave the way for the continuation of what we are seeing now; the accelerated closures of small businesses creating marketplace gaps replaced either by a large chain pharmacy or in the alternative the creation of a pharmacy “desert.” You may have seen lately that several CVS and Walgreens locations have been forced to close themselves due to the reckless reimbursement environment that they themselves have created.  But w</w:t>
      </w:r>
      <w:r w:rsidRPr="00FE7D5C">
        <w:rPr>
          <w:rFonts w:ascii="Calibri" w:eastAsia="Calibri" w:hAnsi="Calibri" w:cs="Calibri"/>
          <w:highlight w:val="white"/>
        </w:rPr>
        <w:t xml:space="preserve">e believe that a new era of the FTC is upon us, where the Commission can help restore the marketplace wrongs that have been allowed to go on for too long. </w:t>
      </w:r>
    </w:p>
    <w:p w14:paraId="364CC9A3" w14:textId="77777777" w:rsidR="00D73336" w:rsidRPr="00FE7D5C" w:rsidRDefault="00D73336" w:rsidP="00D73336">
      <w:pPr>
        <w:jc w:val="both"/>
        <w:rPr>
          <w:rFonts w:ascii="Calibri" w:eastAsia="Calibri" w:hAnsi="Calibri" w:cs="Calibri"/>
        </w:rPr>
      </w:pPr>
      <w:r w:rsidRPr="00FE7D5C">
        <w:rPr>
          <w:rFonts w:ascii="Calibri" w:eastAsia="Calibri" w:hAnsi="Calibri" w:cs="Calibri"/>
        </w:rPr>
        <w:t xml:space="preserve">       </w:t>
      </w:r>
    </w:p>
    <w:p w14:paraId="63D862E3" w14:textId="77777777" w:rsidR="00D73336" w:rsidRDefault="00D73336" w:rsidP="00D73336">
      <w:pPr>
        <w:jc w:val="both"/>
        <w:rPr>
          <w:rFonts w:ascii="Calibri" w:eastAsia="Calibri" w:hAnsi="Calibri" w:cs="Calibri"/>
          <w:highlight w:val="white"/>
        </w:rPr>
      </w:pPr>
    </w:p>
    <w:p w14:paraId="36575738" w14:textId="77777777" w:rsidR="00D73336" w:rsidRDefault="00D73336" w:rsidP="00D73336">
      <w:pPr>
        <w:jc w:val="both"/>
        <w:rPr>
          <w:rFonts w:ascii="Calibri" w:eastAsia="Calibri" w:hAnsi="Calibri" w:cs="Calibri"/>
          <w:highlight w:val="white"/>
        </w:rPr>
      </w:pPr>
    </w:p>
    <w:p w14:paraId="6C71CC32" w14:textId="77777777" w:rsidR="0070514A" w:rsidRDefault="0070514A" w:rsidP="00D73336">
      <w:pPr>
        <w:jc w:val="both"/>
        <w:rPr>
          <w:rFonts w:ascii="Calibri" w:eastAsia="Calibri" w:hAnsi="Calibri" w:cs="Calibri"/>
          <w:highlight w:val="white"/>
        </w:rPr>
      </w:pPr>
    </w:p>
    <w:p w14:paraId="58C89ECF" w14:textId="77777777" w:rsidR="0070514A" w:rsidRDefault="0070514A" w:rsidP="00D73336">
      <w:pPr>
        <w:jc w:val="both"/>
        <w:rPr>
          <w:rFonts w:ascii="Calibri" w:eastAsia="Calibri" w:hAnsi="Calibri" w:cs="Calibri"/>
          <w:highlight w:val="white"/>
        </w:rPr>
      </w:pPr>
    </w:p>
    <w:p w14:paraId="32B5319F" w14:textId="77777777" w:rsidR="0070514A" w:rsidRDefault="0070514A" w:rsidP="00D73336">
      <w:pPr>
        <w:jc w:val="both"/>
        <w:rPr>
          <w:rFonts w:ascii="Calibri" w:eastAsia="Calibri" w:hAnsi="Calibri" w:cs="Calibri"/>
          <w:highlight w:val="white"/>
        </w:rPr>
      </w:pPr>
    </w:p>
    <w:p w14:paraId="0E55CEF5" w14:textId="77777777" w:rsidR="0070514A" w:rsidRDefault="0070514A" w:rsidP="00D73336">
      <w:pPr>
        <w:jc w:val="both"/>
        <w:rPr>
          <w:rFonts w:ascii="Calibri" w:eastAsia="Calibri" w:hAnsi="Calibri" w:cs="Calibri"/>
          <w:highlight w:val="white"/>
        </w:rPr>
      </w:pPr>
    </w:p>
    <w:p w14:paraId="1D12CE11" w14:textId="77777777" w:rsidR="0070514A" w:rsidRDefault="0070514A" w:rsidP="00D73336">
      <w:pPr>
        <w:jc w:val="both"/>
        <w:rPr>
          <w:rFonts w:ascii="Calibri" w:eastAsia="Calibri" w:hAnsi="Calibri" w:cs="Calibri"/>
          <w:highlight w:val="white"/>
        </w:rPr>
      </w:pPr>
    </w:p>
    <w:p w14:paraId="3F3B730D" w14:textId="77777777" w:rsidR="0070514A" w:rsidRDefault="0070514A" w:rsidP="00D73336">
      <w:pPr>
        <w:jc w:val="both"/>
        <w:rPr>
          <w:rFonts w:ascii="Calibri" w:eastAsia="Calibri" w:hAnsi="Calibri" w:cs="Calibri"/>
          <w:highlight w:val="white"/>
        </w:rPr>
      </w:pPr>
    </w:p>
    <w:p w14:paraId="3AE05618" w14:textId="5DA287AA" w:rsidR="00D73336" w:rsidRPr="00FE7D5C" w:rsidRDefault="00D73336" w:rsidP="00D73336">
      <w:pPr>
        <w:jc w:val="both"/>
        <w:rPr>
          <w:rFonts w:ascii="Calibri" w:eastAsia="Calibri" w:hAnsi="Calibri" w:cs="Calibri"/>
          <w:highlight w:val="white"/>
        </w:rPr>
      </w:pPr>
      <w:r w:rsidRPr="00FE7D5C">
        <w:rPr>
          <w:rFonts w:ascii="Calibri" w:eastAsia="Calibri" w:hAnsi="Calibri" w:cs="Calibri"/>
          <w:highlight w:val="white"/>
        </w:rPr>
        <w:t>We appreciate you allowing us to pass along our viewpoints and we stand by to readily serve as a resource to you.</w:t>
      </w:r>
    </w:p>
    <w:p w14:paraId="4B53B56E" w14:textId="77777777" w:rsidR="00D73336" w:rsidRPr="00FE7D5C" w:rsidRDefault="00D73336" w:rsidP="00D73336">
      <w:pPr>
        <w:jc w:val="both"/>
        <w:rPr>
          <w:rFonts w:ascii="Calibri" w:eastAsia="Calibri" w:hAnsi="Calibri" w:cs="Calibri"/>
          <w:highlight w:val="white"/>
        </w:rPr>
      </w:pPr>
    </w:p>
    <w:p w14:paraId="65640737" w14:textId="77777777" w:rsidR="00D73336" w:rsidRPr="00FE7D5C" w:rsidRDefault="00D73336" w:rsidP="00D73336">
      <w:pPr>
        <w:jc w:val="both"/>
        <w:rPr>
          <w:rFonts w:ascii="Calibri" w:eastAsia="Calibri" w:hAnsi="Calibri" w:cs="Calibri"/>
          <w:highlight w:val="white"/>
        </w:rPr>
      </w:pPr>
      <w:r w:rsidRPr="00FE7D5C">
        <w:rPr>
          <w:rFonts w:ascii="Calibri" w:eastAsia="Calibri" w:hAnsi="Calibri" w:cs="Calibri"/>
          <w:highlight w:val="white"/>
        </w:rPr>
        <w:t>Sincerely,</w:t>
      </w:r>
    </w:p>
    <w:p w14:paraId="4975A30B" w14:textId="77777777" w:rsidR="00D73336" w:rsidRPr="00FE7D5C" w:rsidRDefault="00D73336" w:rsidP="00D73336">
      <w:pPr>
        <w:jc w:val="both"/>
        <w:rPr>
          <w:rFonts w:ascii="Calibri" w:eastAsia="Calibri" w:hAnsi="Calibri" w:cs="Calibri"/>
          <w:sz w:val="4"/>
          <w:szCs w:val="4"/>
        </w:rPr>
      </w:pPr>
    </w:p>
    <w:p w14:paraId="40FCC393" w14:textId="77777777" w:rsidR="00D73336" w:rsidRPr="00FE7D5C" w:rsidRDefault="00D73336" w:rsidP="00D73336">
      <w:pPr>
        <w:rPr>
          <w:rFonts w:ascii="Calibri" w:eastAsia="Calibri" w:hAnsi="Calibri" w:cs="Calibri"/>
        </w:rPr>
      </w:pPr>
      <w:r w:rsidRPr="00FE7D5C">
        <w:rPr>
          <w:rFonts w:ascii="Calibri" w:eastAsia="Calibri" w:hAnsi="Calibri" w:cs="Calibri"/>
          <w:noProof/>
        </w:rPr>
        <w:drawing>
          <wp:inline distT="0" distB="0" distL="0" distR="0" wp14:anchorId="4CF2CF4B" wp14:editId="1A073D46">
            <wp:extent cx="1687265" cy="747888"/>
            <wp:effectExtent l="0" t="0" r="0" b="0"/>
            <wp:docPr id="3" name="image2.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 letter&#10;&#10;Description automatically generated"/>
                    <pic:cNvPicPr preferRelativeResize="0"/>
                  </pic:nvPicPr>
                  <pic:blipFill>
                    <a:blip r:embed="rId10"/>
                    <a:srcRect/>
                    <a:stretch>
                      <a:fillRect/>
                    </a:stretch>
                  </pic:blipFill>
                  <pic:spPr>
                    <a:xfrm>
                      <a:off x="0" y="0"/>
                      <a:ext cx="1687265" cy="747888"/>
                    </a:xfrm>
                    <a:prstGeom prst="rect">
                      <a:avLst/>
                    </a:prstGeom>
                    <a:ln/>
                  </pic:spPr>
                </pic:pic>
              </a:graphicData>
            </a:graphic>
          </wp:inline>
        </w:drawing>
      </w:r>
      <w:r w:rsidRPr="00FE7D5C">
        <w:rPr>
          <w:rFonts w:ascii="Calibri" w:eastAsia="Calibri" w:hAnsi="Calibri" w:cs="Calibri"/>
          <w:highlight w:val="white"/>
        </w:rPr>
        <w:tab/>
      </w:r>
      <w:r w:rsidRPr="00FE7D5C">
        <w:rPr>
          <w:rFonts w:ascii="Calibri" w:eastAsia="Calibri" w:hAnsi="Calibri" w:cs="Calibri"/>
          <w:noProof/>
        </w:rPr>
        <w:drawing>
          <wp:inline distT="0" distB="0" distL="0" distR="0" wp14:anchorId="22C675C8" wp14:editId="32A13AD8">
            <wp:extent cx="1514958" cy="636167"/>
            <wp:effectExtent l="0" t="0" r="0" b="0"/>
            <wp:docPr id="4" name="image4.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Text, letter&#10;&#10;Description automatically generated"/>
                    <pic:cNvPicPr preferRelativeResize="0"/>
                  </pic:nvPicPr>
                  <pic:blipFill>
                    <a:blip r:embed="rId11"/>
                    <a:srcRect/>
                    <a:stretch>
                      <a:fillRect/>
                    </a:stretch>
                  </pic:blipFill>
                  <pic:spPr>
                    <a:xfrm>
                      <a:off x="0" y="0"/>
                      <a:ext cx="1514958" cy="636167"/>
                    </a:xfrm>
                    <a:prstGeom prst="rect">
                      <a:avLst/>
                    </a:prstGeom>
                    <a:ln/>
                  </pic:spPr>
                </pic:pic>
              </a:graphicData>
            </a:graphic>
          </wp:inline>
        </w:drawing>
      </w:r>
      <w:r w:rsidRPr="00FE7D5C">
        <w:rPr>
          <w:rFonts w:ascii="Calibri" w:eastAsia="Calibri" w:hAnsi="Calibri" w:cs="Calibri"/>
          <w:highlight w:val="white"/>
        </w:rPr>
        <w:tab/>
      </w:r>
      <w:r w:rsidRPr="00FE7D5C">
        <w:rPr>
          <w:rFonts w:ascii="Calibri" w:eastAsia="Calibri" w:hAnsi="Calibri" w:cs="Calibri"/>
          <w:noProof/>
        </w:rPr>
        <w:drawing>
          <wp:inline distT="0" distB="0" distL="0" distR="0" wp14:anchorId="6E5B4B5B" wp14:editId="3F66C890">
            <wp:extent cx="1805392" cy="660385"/>
            <wp:effectExtent l="0" t="0" r="0" b="0"/>
            <wp:docPr id="1" name="image3.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clipart&#10;&#10;Description automatically generated"/>
                    <pic:cNvPicPr preferRelativeResize="0"/>
                  </pic:nvPicPr>
                  <pic:blipFill>
                    <a:blip r:embed="rId12"/>
                    <a:srcRect/>
                    <a:stretch>
                      <a:fillRect/>
                    </a:stretch>
                  </pic:blipFill>
                  <pic:spPr>
                    <a:xfrm>
                      <a:off x="0" y="0"/>
                      <a:ext cx="1805392" cy="660385"/>
                    </a:xfrm>
                    <a:prstGeom prst="rect">
                      <a:avLst/>
                    </a:prstGeom>
                    <a:ln/>
                  </pic:spPr>
                </pic:pic>
              </a:graphicData>
            </a:graphic>
          </wp:inline>
        </w:drawing>
      </w:r>
      <w:r w:rsidRPr="00FE7D5C">
        <w:rPr>
          <w:rFonts w:ascii="Calibri" w:eastAsia="Calibri" w:hAnsi="Calibri" w:cs="Calibri"/>
          <w:highlight w:val="white"/>
        </w:rPr>
        <w:tab/>
      </w:r>
      <w:r w:rsidRPr="00FE7D5C">
        <w:rPr>
          <w:rFonts w:ascii="Calibri" w:eastAsia="Calibri" w:hAnsi="Calibri" w:cs="Calibri"/>
          <w:highlight w:val="white"/>
        </w:rPr>
        <w:tab/>
      </w:r>
      <w:r w:rsidRPr="00FE7D5C">
        <w:rPr>
          <w:rFonts w:ascii="Calibri" w:eastAsia="Calibri" w:hAnsi="Calibri" w:cs="Calibri"/>
          <w:highlight w:val="white"/>
        </w:rPr>
        <w:tab/>
      </w:r>
      <w:r w:rsidRPr="00FE7D5C">
        <w:rPr>
          <w:rFonts w:ascii="Calibri" w:eastAsia="Calibri" w:hAnsi="Calibri" w:cs="Calibri"/>
        </w:rPr>
        <w:t xml:space="preserve">  </w:t>
      </w:r>
      <w:r w:rsidRPr="00FE7D5C">
        <w:rPr>
          <w:rFonts w:ascii="Calibri" w:eastAsia="Calibri" w:hAnsi="Calibri" w:cs="Calibri"/>
        </w:rPr>
        <w:tab/>
      </w:r>
      <w:r w:rsidRPr="00FE7D5C">
        <w:rPr>
          <w:rFonts w:ascii="Calibri" w:eastAsia="Calibri" w:hAnsi="Calibri" w:cs="Calibri"/>
        </w:rPr>
        <w:tab/>
      </w:r>
    </w:p>
    <w:p w14:paraId="3BE7AB6E" w14:textId="77777777" w:rsidR="00D73336" w:rsidRDefault="00D73336" w:rsidP="00D73336">
      <w:pPr>
        <w:jc w:val="both"/>
        <w:rPr>
          <w:rFonts w:ascii="Calibri" w:eastAsia="Calibri" w:hAnsi="Calibri" w:cs="Calibri"/>
          <w:color w:val="0A0A0A"/>
          <w:highlight w:val="white"/>
        </w:rPr>
      </w:pPr>
      <w:r w:rsidRPr="00FE7D5C">
        <w:rPr>
          <w:rFonts w:ascii="Calibri" w:eastAsia="Calibri" w:hAnsi="Calibri" w:cs="Calibri"/>
          <w:highlight w:val="white"/>
        </w:rPr>
        <w:t>Patricia Monaco</w:t>
      </w:r>
      <w:r w:rsidRPr="00FE7D5C">
        <w:rPr>
          <w:rFonts w:ascii="Calibri" w:eastAsia="Calibri" w:hAnsi="Calibri" w:cs="Calibri"/>
          <w:highlight w:val="white"/>
        </w:rPr>
        <w:tab/>
      </w:r>
      <w:r w:rsidRPr="00FE7D5C">
        <w:rPr>
          <w:rFonts w:ascii="Calibri" w:eastAsia="Calibri" w:hAnsi="Calibri" w:cs="Calibri"/>
        </w:rPr>
        <w:tab/>
        <w:t>Ron Lanton III, Esq.</w:t>
      </w:r>
      <w:r w:rsidRPr="00FE7D5C">
        <w:rPr>
          <w:rFonts w:ascii="Calibri" w:eastAsia="Calibri" w:hAnsi="Calibri" w:cs="Calibri"/>
        </w:rPr>
        <w:tab/>
      </w:r>
      <w:r>
        <w:rPr>
          <w:rFonts w:ascii="Calibri" w:eastAsia="Calibri" w:hAnsi="Calibri" w:cs="Calibri"/>
        </w:rPr>
        <w:tab/>
        <w:t>David G. Benoit, MHP, RPh.</w:t>
      </w:r>
      <w:r>
        <w:rPr>
          <w:rFonts w:ascii="Calibri" w:eastAsia="Calibri" w:hAnsi="Calibri" w:cs="Calibri"/>
        </w:rPr>
        <w:tab/>
      </w:r>
    </w:p>
    <w:p w14:paraId="41A86A4F" w14:textId="77777777" w:rsidR="00D73336" w:rsidRDefault="00D73336" w:rsidP="00D73336">
      <w:pPr>
        <w:jc w:val="both"/>
        <w:rPr>
          <w:rFonts w:ascii="Calibri" w:eastAsia="Calibri" w:hAnsi="Calibri" w:cs="Calibri"/>
          <w:color w:val="0A0A0A"/>
          <w:highlight w:val="white"/>
        </w:rPr>
      </w:pPr>
      <w:r>
        <w:rPr>
          <w:rFonts w:ascii="Calibri" w:eastAsia="Calibri" w:hAnsi="Calibri" w:cs="Calibri"/>
          <w:color w:val="0A0A0A"/>
          <w:highlight w:val="white"/>
        </w:rPr>
        <w:t>President/CEO</w:t>
      </w:r>
      <w:r>
        <w:rPr>
          <w:rFonts w:ascii="Calibri" w:eastAsia="Calibri" w:hAnsi="Calibri" w:cs="Calibri"/>
          <w:color w:val="0A0A0A"/>
          <w:highlight w:val="white"/>
        </w:rPr>
        <w:tab/>
      </w:r>
      <w:r>
        <w:rPr>
          <w:rFonts w:ascii="Calibri" w:eastAsia="Calibri" w:hAnsi="Calibri" w:cs="Calibri"/>
          <w:color w:val="0A0A0A"/>
          <w:highlight w:val="white"/>
        </w:rPr>
        <w:tab/>
      </w:r>
      <w:r>
        <w:rPr>
          <w:rFonts w:ascii="Calibri" w:eastAsia="Calibri" w:hAnsi="Calibri" w:cs="Calibri"/>
        </w:rPr>
        <w:tab/>
      </w:r>
      <w:r>
        <w:rPr>
          <w:rFonts w:ascii="Calibri" w:eastAsia="Calibri" w:hAnsi="Calibri" w:cs="Calibri"/>
          <w:color w:val="0A0A0A"/>
          <w:highlight w:val="white"/>
        </w:rPr>
        <w:t>Corporate Counsel</w:t>
      </w:r>
      <w:r>
        <w:rPr>
          <w:rFonts w:ascii="Calibri" w:eastAsia="Calibri" w:hAnsi="Calibri" w:cs="Calibri"/>
          <w:color w:val="0A0A0A"/>
        </w:rPr>
        <w:tab/>
      </w:r>
      <w:r>
        <w:rPr>
          <w:rFonts w:ascii="Calibri" w:eastAsia="Calibri" w:hAnsi="Calibri" w:cs="Calibri"/>
          <w:color w:val="0A0A0A"/>
        </w:rPr>
        <w:tab/>
      </w:r>
      <w:r>
        <w:rPr>
          <w:rFonts w:ascii="Calibri" w:eastAsia="Calibri" w:hAnsi="Calibri" w:cs="Calibri"/>
          <w:highlight w:val="white"/>
        </w:rPr>
        <w:t>VP, Patient Care Services</w:t>
      </w:r>
    </w:p>
    <w:p w14:paraId="7503403F" w14:textId="77777777" w:rsidR="00D73336" w:rsidRDefault="00D73336" w:rsidP="00D73336">
      <w:pPr>
        <w:jc w:val="both"/>
        <w:rPr>
          <w:rFonts w:ascii="Calibri" w:eastAsia="Calibri" w:hAnsi="Calibri" w:cs="Calibri"/>
          <w:color w:val="0A0A0A"/>
          <w:highlight w:val="white"/>
        </w:rPr>
      </w:pPr>
      <w:r>
        <w:rPr>
          <w:rFonts w:ascii="Calibri" w:eastAsia="Calibri" w:hAnsi="Calibri" w:cs="Calibri"/>
          <w:color w:val="0A0A0A"/>
          <w:highlight w:val="white"/>
        </w:rPr>
        <w:t>Northeast Pharmacy</w:t>
      </w:r>
      <w:r>
        <w:rPr>
          <w:rFonts w:ascii="Calibri" w:eastAsia="Calibri" w:hAnsi="Calibri" w:cs="Calibri"/>
          <w:color w:val="0A0A0A"/>
          <w:highlight w:val="white"/>
        </w:rPr>
        <w:tab/>
      </w:r>
      <w:r>
        <w:rPr>
          <w:rFonts w:ascii="Calibri" w:eastAsia="Calibri" w:hAnsi="Calibri" w:cs="Calibri"/>
          <w:color w:val="0A0A0A"/>
          <w:highlight w:val="white"/>
        </w:rPr>
        <w:tab/>
      </w:r>
      <w:r>
        <w:rPr>
          <w:rFonts w:ascii="Calibri" w:eastAsia="Calibri" w:hAnsi="Calibri" w:cs="Calibri"/>
        </w:rPr>
        <w:t>Northeast Pharmacy</w:t>
      </w:r>
      <w:r>
        <w:rPr>
          <w:rFonts w:ascii="Calibri" w:eastAsia="Calibri" w:hAnsi="Calibri" w:cs="Calibri"/>
          <w:color w:val="0A0A0A"/>
          <w:highlight w:val="white"/>
        </w:rPr>
        <w:tab/>
      </w:r>
      <w:r>
        <w:rPr>
          <w:rFonts w:ascii="Calibri" w:eastAsia="Calibri" w:hAnsi="Calibri" w:cs="Calibri"/>
          <w:color w:val="0A0A0A"/>
          <w:highlight w:val="white"/>
        </w:rPr>
        <w:tab/>
        <w:t>Northeast Pharmacy</w:t>
      </w:r>
      <w:r>
        <w:rPr>
          <w:rFonts w:ascii="Calibri" w:eastAsia="Calibri" w:hAnsi="Calibri" w:cs="Calibri"/>
          <w:color w:val="0A0A0A"/>
          <w:highlight w:val="white"/>
        </w:rPr>
        <w:tab/>
        <w:t xml:space="preserve"> </w:t>
      </w:r>
      <w:r>
        <w:rPr>
          <w:rFonts w:ascii="Calibri" w:eastAsia="Calibri" w:hAnsi="Calibri" w:cs="Calibri"/>
          <w:color w:val="0A0A0A"/>
          <w:highlight w:val="white"/>
        </w:rPr>
        <w:tab/>
      </w:r>
    </w:p>
    <w:p w14:paraId="18C4B224" w14:textId="77777777" w:rsidR="00D73336" w:rsidRDefault="00D73336" w:rsidP="00D73336">
      <w:pPr>
        <w:jc w:val="both"/>
        <w:rPr>
          <w:rFonts w:ascii="Calibri" w:eastAsia="Calibri" w:hAnsi="Calibri" w:cs="Calibri"/>
          <w:color w:val="0A0A0A"/>
          <w:highlight w:val="white"/>
        </w:rPr>
      </w:pPr>
      <w:r>
        <w:rPr>
          <w:rFonts w:ascii="Calibri" w:eastAsia="Calibri" w:hAnsi="Calibri" w:cs="Calibri"/>
          <w:color w:val="0A0A0A"/>
          <w:highlight w:val="white"/>
        </w:rPr>
        <w:t>Service Corporation</w:t>
      </w:r>
      <w:r>
        <w:rPr>
          <w:rFonts w:ascii="Calibri" w:eastAsia="Calibri" w:hAnsi="Calibri" w:cs="Calibri"/>
          <w:color w:val="0A0A0A"/>
          <w:highlight w:val="white"/>
        </w:rPr>
        <w:tab/>
      </w:r>
      <w:r>
        <w:rPr>
          <w:rFonts w:ascii="Calibri" w:eastAsia="Calibri" w:hAnsi="Calibri" w:cs="Calibri"/>
          <w:color w:val="0A0A0A"/>
          <w:highlight w:val="white"/>
        </w:rPr>
        <w:tab/>
        <w:t>Service Corporation</w:t>
      </w:r>
      <w:r>
        <w:rPr>
          <w:rFonts w:ascii="Calibri" w:eastAsia="Calibri" w:hAnsi="Calibri" w:cs="Calibri"/>
          <w:color w:val="0A0A0A"/>
          <w:highlight w:val="white"/>
        </w:rPr>
        <w:tab/>
      </w:r>
      <w:r>
        <w:rPr>
          <w:rFonts w:ascii="Calibri" w:eastAsia="Calibri" w:hAnsi="Calibri" w:cs="Calibri"/>
          <w:color w:val="0A0A0A"/>
          <w:highlight w:val="white"/>
        </w:rPr>
        <w:tab/>
        <w:t>Service Corporation</w:t>
      </w:r>
    </w:p>
    <w:p w14:paraId="2ED31706" w14:textId="77777777" w:rsidR="00CC523F" w:rsidRDefault="00CC523F"/>
    <w:p w14:paraId="7327001E" w14:textId="77777777" w:rsidR="00936A94" w:rsidRDefault="00936A94"/>
    <w:p w14:paraId="3A3C6EEB" w14:textId="0DA2B87A" w:rsidR="00936A94" w:rsidRDefault="00936A94"/>
    <w:p w14:paraId="368BD6CB" w14:textId="2DBC059C" w:rsidR="00BC6186" w:rsidRDefault="00BC6186"/>
    <w:p w14:paraId="212FFFAD" w14:textId="497046B2" w:rsidR="00BC6186" w:rsidRDefault="00BC6186"/>
    <w:p w14:paraId="7354F300" w14:textId="1CFB4D20" w:rsidR="00BC6186" w:rsidRDefault="00BC6186"/>
    <w:sectPr w:rsidR="00BC618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DABA" w14:textId="77777777" w:rsidR="002A5B3A" w:rsidRDefault="002A5B3A" w:rsidP="00494EC9">
      <w:r>
        <w:separator/>
      </w:r>
    </w:p>
  </w:endnote>
  <w:endnote w:type="continuationSeparator" w:id="0">
    <w:p w14:paraId="469B302E" w14:textId="77777777" w:rsidR="002A5B3A" w:rsidRDefault="002A5B3A" w:rsidP="0049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D38F" w14:textId="77777777" w:rsidR="00494EC9" w:rsidRDefault="00494EC9">
    <w:pPr>
      <w:pStyle w:val="Footer"/>
    </w:pP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1EFA409A" wp14:editId="018D0CD2">
              <wp:simplePos x="0" y="0"/>
              <wp:positionH relativeFrom="column">
                <wp:posOffset>-275590</wp:posOffset>
              </wp:positionH>
              <wp:positionV relativeFrom="paragraph">
                <wp:posOffset>-193675</wp:posOffset>
              </wp:positionV>
              <wp:extent cx="6828790" cy="808990"/>
              <wp:effectExtent l="63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808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318299" w14:textId="77777777" w:rsidR="00494EC9" w:rsidRPr="00D73336" w:rsidRDefault="00494EC9" w:rsidP="00494EC9">
                          <w:pPr>
                            <w:widowControl w:val="0"/>
                            <w:jc w:val="center"/>
                            <w:rPr>
                              <w:color w:val="595959"/>
                              <w:sz w:val="20"/>
                              <w:szCs w:val="20"/>
                            </w:rPr>
                          </w:pPr>
                          <w:r w:rsidRPr="00D73336">
                            <w:rPr>
                              <w:color w:val="595959"/>
                              <w:sz w:val="20"/>
                              <w:szCs w:val="20"/>
                            </w:rPr>
                            <w:t>Northeast Pharmacy Service Corporation</w:t>
                          </w:r>
                        </w:p>
                        <w:p w14:paraId="556BE4CC" w14:textId="77777777" w:rsidR="00494EC9" w:rsidRPr="00D73336" w:rsidRDefault="00494EC9" w:rsidP="00494EC9">
                          <w:pPr>
                            <w:widowControl w:val="0"/>
                            <w:jc w:val="center"/>
                            <w:rPr>
                              <w:color w:val="595959"/>
                              <w:sz w:val="20"/>
                              <w:szCs w:val="20"/>
                            </w:rPr>
                          </w:pPr>
                          <w:r w:rsidRPr="00D73336">
                            <w:rPr>
                              <w:color w:val="595959"/>
                              <w:sz w:val="20"/>
                              <w:szCs w:val="20"/>
                            </w:rPr>
                            <w:t>1661 Worcester Road    Suite 405    Framingham, MA 01701-5401</w:t>
                          </w:r>
                        </w:p>
                        <w:p w14:paraId="27355AD0" w14:textId="77777777" w:rsidR="00494EC9" w:rsidRPr="00D73336" w:rsidRDefault="00494EC9" w:rsidP="00494EC9">
                          <w:pPr>
                            <w:widowControl w:val="0"/>
                            <w:jc w:val="center"/>
                            <w:rPr>
                              <w:color w:val="595959"/>
                              <w:sz w:val="20"/>
                              <w:szCs w:val="20"/>
                            </w:rPr>
                          </w:pPr>
                          <w:r w:rsidRPr="00D73336">
                            <w:rPr>
                              <w:color w:val="595959"/>
                              <w:sz w:val="20"/>
                              <w:szCs w:val="20"/>
                            </w:rPr>
                            <w:t>800/532.3742     508/875.1866       F: 508/875.6108</w:t>
                          </w:r>
                        </w:p>
                        <w:p w14:paraId="44E9A08C" w14:textId="77777777" w:rsidR="00494EC9" w:rsidRPr="00D73336" w:rsidRDefault="00494EC9" w:rsidP="00494EC9">
                          <w:pPr>
                            <w:widowControl w:val="0"/>
                            <w:spacing w:line="163" w:lineRule="auto"/>
                            <w:jc w:val="center"/>
                            <w:rPr>
                              <w:color w:val="595959"/>
                              <w:sz w:val="20"/>
                              <w:szCs w:val="20"/>
                            </w:rPr>
                          </w:pPr>
                          <w:r w:rsidRPr="00D73336">
                            <w:rPr>
                              <w:color w:val="595959"/>
                              <w:sz w:val="20"/>
                              <w:szCs w:val="20"/>
                            </w:rPr>
                            <w:t>www.northeastpharmacy.com</w:t>
                          </w:r>
                        </w:p>
                        <w:p w14:paraId="51C10389" w14:textId="77777777" w:rsidR="00494EC9" w:rsidRDefault="00494EC9" w:rsidP="00494EC9">
                          <w:pPr>
                            <w:widowControl w:val="0"/>
                            <w:spacing w:line="163" w:lineRule="auto"/>
                            <w:jc w:val="center"/>
                            <w:rPr>
                              <w:rFonts w:ascii="Calibri" w:hAnsi="Calibri"/>
                              <w:color w:val="595959"/>
                            </w:rPr>
                          </w:pPr>
                          <w:r>
                            <w:rPr>
                              <w:color w:val="595959"/>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A409A" id="_x0000_t202" coordsize="21600,21600" o:spt="202" path="m,l,21600r21600,l21600,xe">
              <v:stroke joinstyle="miter"/>
              <v:path gradientshapeok="t" o:connecttype="rect"/>
            </v:shapetype>
            <v:shape id="Text Box 5" o:spid="_x0000_s1026" type="#_x0000_t202" style="position:absolute;margin-left:-21.7pt;margin-top:-15.25pt;width:537.7pt;height:63.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" filled="f" stroked="f" strokecolor="black [0]" insetpen="t">
              <v:textbox inset="2.88pt,2.88pt,2.88pt,2.88pt">
                <w:txbxContent>
                  <w:p w14:paraId="1B318299" w14:textId="77777777" w:rsidR="00494EC9" w:rsidRPr="00D73336" w:rsidRDefault="00494EC9" w:rsidP="00494EC9">
                    <w:pPr>
                      <w:widowControl w:val="0"/>
                      <w:jc w:val="center"/>
                      <w:rPr>
                        <w:color w:val="595959"/>
                        <w:sz w:val="20"/>
                        <w:szCs w:val="20"/>
                      </w:rPr>
                    </w:pPr>
                    <w:r w:rsidRPr="00D73336">
                      <w:rPr>
                        <w:color w:val="595959"/>
                        <w:sz w:val="20"/>
                        <w:szCs w:val="20"/>
                      </w:rPr>
                      <w:t>Northeast Pharmacy Service Corporation</w:t>
                    </w:r>
                  </w:p>
                  <w:p w14:paraId="556BE4CC" w14:textId="77777777" w:rsidR="00494EC9" w:rsidRPr="00D73336" w:rsidRDefault="00494EC9" w:rsidP="00494EC9">
                    <w:pPr>
                      <w:widowControl w:val="0"/>
                      <w:jc w:val="center"/>
                      <w:rPr>
                        <w:color w:val="595959"/>
                        <w:sz w:val="20"/>
                        <w:szCs w:val="20"/>
                      </w:rPr>
                    </w:pPr>
                    <w:r w:rsidRPr="00D73336">
                      <w:rPr>
                        <w:color w:val="595959"/>
                        <w:sz w:val="20"/>
                        <w:szCs w:val="20"/>
                      </w:rPr>
                      <w:t>1661 Worcester Road    Suite 405    Framingham, MA 01701-5401</w:t>
                    </w:r>
                  </w:p>
                  <w:p w14:paraId="27355AD0" w14:textId="77777777" w:rsidR="00494EC9" w:rsidRPr="00D73336" w:rsidRDefault="00494EC9" w:rsidP="00494EC9">
                    <w:pPr>
                      <w:widowControl w:val="0"/>
                      <w:jc w:val="center"/>
                      <w:rPr>
                        <w:color w:val="595959"/>
                        <w:sz w:val="20"/>
                        <w:szCs w:val="20"/>
                      </w:rPr>
                    </w:pPr>
                    <w:r w:rsidRPr="00D73336">
                      <w:rPr>
                        <w:color w:val="595959"/>
                        <w:sz w:val="20"/>
                        <w:szCs w:val="20"/>
                      </w:rPr>
                      <w:t>800/532.3742     508/875.1866       F: 508/875.6108</w:t>
                    </w:r>
                  </w:p>
                  <w:p w14:paraId="44E9A08C" w14:textId="77777777" w:rsidR="00494EC9" w:rsidRPr="00D73336" w:rsidRDefault="00494EC9" w:rsidP="00494EC9">
                    <w:pPr>
                      <w:widowControl w:val="0"/>
                      <w:spacing w:line="163" w:lineRule="auto"/>
                      <w:jc w:val="center"/>
                      <w:rPr>
                        <w:color w:val="595959"/>
                        <w:sz w:val="20"/>
                        <w:szCs w:val="20"/>
                      </w:rPr>
                    </w:pPr>
                    <w:r w:rsidRPr="00D73336">
                      <w:rPr>
                        <w:color w:val="595959"/>
                        <w:sz w:val="20"/>
                        <w:szCs w:val="20"/>
                      </w:rPr>
                      <w:t>www.northeastpharmacy.com</w:t>
                    </w:r>
                  </w:p>
                  <w:p w14:paraId="51C10389" w14:textId="77777777" w:rsidR="00494EC9" w:rsidRDefault="00494EC9" w:rsidP="00494EC9">
                    <w:pPr>
                      <w:widowControl w:val="0"/>
                      <w:spacing w:line="163" w:lineRule="auto"/>
                      <w:jc w:val="center"/>
                      <w:rPr>
                        <w:rFonts w:ascii="Calibri" w:hAnsi="Calibri"/>
                        <w:color w:val="595959"/>
                      </w:rPr>
                    </w:pPr>
                    <w:r>
                      <w:rPr>
                        <w:color w:val="595959"/>
                      </w:rPr>
                      <w:t> </w:t>
                    </w:r>
                  </w:p>
                </w:txbxContent>
              </v:textbox>
            </v:shape>
          </w:pict>
        </mc:Fallback>
      </mc:AlternateContent>
    </w:r>
  </w:p>
  <w:p w14:paraId="1031F7EF" w14:textId="77777777" w:rsidR="00494EC9" w:rsidRDefault="0049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9FE98" w14:textId="77777777" w:rsidR="002A5B3A" w:rsidRDefault="002A5B3A" w:rsidP="00494EC9">
      <w:r>
        <w:separator/>
      </w:r>
    </w:p>
  </w:footnote>
  <w:footnote w:type="continuationSeparator" w:id="0">
    <w:p w14:paraId="50FF0C9E" w14:textId="77777777" w:rsidR="002A5B3A" w:rsidRDefault="002A5B3A" w:rsidP="00494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CDA6" w14:textId="738ADA65" w:rsidR="00494EC9" w:rsidRDefault="00494EC9">
    <w:pPr>
      <w:pStyle w:val="Header"/>
    </w:pPr>
    <w:r>
      <w:ptab w:relativeTo="margin" w:alignment="center" w:leader="none"/>
    </w:r>
    <w:r w:rsidR="00D17BE0">
      <w:rPr>
        <w:noProof/>
      </w:rPr>
      <w:drawing>
        <wp:inline distT="0" distB="0" distL="0" distR="0" wp14:anchorId="1EB1CD3B" wp14:editId="4E30B945">
          <wp:extent cx="1531620" cy="832245"/>
          <wp:effectExtent l="0" t="0" r="0" b="6350"/>
          <wp:docPr id="1228897949"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7949" name="Picture 1" descr="A black background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44" cy="849863"/>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4456F"/>
    <w:multiLevelType w:val="multilevel"/>
    <w:tmpl w:val="CC928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714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C9"/>
    <w:rsid w:val="000573F2"/>
    <w:rsid w:val="0017695B"/>
    <w:rsid w:val="002A1FF8"/>
    <w:rsid w:val="002A5B3A"/>
    <w:rsid w:val="003E17FB"/>
    <w:rsid w:val="00494EC9"/>
    <w:rsid w:val="005019EE"/>
    <w:rsid w:val="0070514A"/>
    <w:rsid w:val="00936A94"/>
    <w:rsid w:val="00AE05E2"/>
    <w:rsid w:val="00BC6186"/>
    <w:rsid w:val="00BD4D78"/>
    <w:rsid w:val="00BF1357"/>
    <w:rsid w:val="00CC523F"/>
    <w:rsid w:val="00D17BE0"/>
    <w:rsid w:val="00D73336"/>
    <w:rsid w:val="00FB2D1E"/>
    <w:rsid w:val="00FE2BD6"/>
    <w:rsid w:val="00FE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98CC4"/>
  <w15:docId w15:val="{CDC55872-C799-4404-9F21-2F98F240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A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EC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4EC9"/>
  </w:style>
  <w:style w:type="paragraph" w:styleId="Footer">
    <w:name w:val="footer"/>
    <w:basedOn w:val="Normal"/>
    <w:link w:val="FooterChar"/>
    <w:uiPriority w:val="99"/>
    <w:unhideWhenUsed/>
    <w:rsid w:val="00494EC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4EC9"/>
  </w:style>
  <w:style w:type="paragraph" w:styleId="BalloonText">
    <w:name w:val="Balloon Text"/>
    <w:basedOn w:val="Normal"/>
    <w:link w:val="BalloonTextChar"/>
    <w:uiPriority w:val="99"/>
    <w:semiHidden/>
    <w:unhideWhenUsed/>
    <w:rsid w:val="00494EC9"/>
    <w:rPr>
      <w:rFonts w:ascii="Tahoma" w:hAnsi="Tahoma" w:cs="Tahoma"/>
      <w:sz w:val="16"/>
      <w:szCs w:val="16"/>
    </w:rPr>
  </w:style>
  <w:style w:type="character" w:customStyle="1" w:styleId="BalloonTextChar">
    <w:name w:val="Balloon Text Char"/>
    <w:basedOn w:val="DefaultParagraphFont"/>
    <w:link w:val="BalloonText"/>
    <w:uiPriority w:val="99"/>
    <w:semiHidden/>
    <w:rsid w:val="00494EC9"/>
    <w:rPr>
      <w:rFonts w:ascii="Tahoma" w:hAnsi="Tahoma" w:cs="Tahoma"/>
      <w:sz w:val="16"/>
      <w:szCs w:val="16"/>
    </w:rPr>
  </w:style>
  <w:style w:type="table" w:styleId="TableGrid">
    <w:name w:val="Table Grid"/>
    <w:basedOn w:val="TableNormal"/>
    <w:uiPriority w:val="39"/>
    <w:rsid w:val="00BD4D78"/>
    <w:pPr>
      <w:widowControl w:val="0"/>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congressional-report/110th-congress/house-report/898/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graham@ftc.gov" TargetMode="Externa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congress.gov/bill/111th-congress/house-bill/1204?s=1&amp;r=2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Kacian McCoy</dc:creator>
  <cp:lastModifiedBy>Susan Kurina</cp:lastModifiedBy>
  <cp:revision>2</cp:revision>
  <cp:lastPrinted>2020-12-04T21:21:00Z</cp:lastPrinted>
  <dcterms:created xsi:type="dcterms:W3CDTF">2023-09-14T16:51:00Z</dcterms:created>
  <dcterms:modified xsi:type="dcterms:W3CDTF">2023-09-14T16:51:00Z</dcterms:modified>
</cp:coreProperties>
</file>