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9148" w14:textId="77777777" w:rsidR="00853535" w:rsidRDefault="00853535">
      <w:pPr>
        <w:spacing w:line="240" w:lineRule="auto"/>
        <w:rPr>
          <w:rFonts w:ascii="Calibri" w:eastAsia="Calibri" w:hAnsi="Calibri" w:cs="Calibri"/>
          <w:color w:val="333333"/>
          <w:sz w:val="24"/>
          <w:szCs w:val="24"/>
        </w:rPr>
      </w:pPr>
    </w:p>
    <w:p w14:paraId="657E79C2" w14:textId="108BC17D" w:rsidR="003E624D" w:rsidRDefault="00853535">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Federal Trade Commission </w:t>
      </w:r>
    </w:p>
    <w:p w14:paraId="4011E570" w14:textId="77777777" w:rsidR="003E624D" w:rsidRDefault="00853535">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600 Pennsylvania Avenue, NW</w:t>
      </w:r>
    </w:p>
    <w:p w14:paraId="099BCAFD" w14:textId="77777777" w:rsidR="003E624D" w:rsidRDefault="00853535">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Washington, DC 20580</w:t>
      </w:r>
    </w:p>
    <w:p w14:paraId="38C70275" w14:textId="77777777" w:rsidR="003E624D" w:rsidRDefault="003E624D">
      <w:pPr>
        <w:spacing w:line="240" w:lineRule="auto"/>
        <w:rPr>
          <w:rFonts w:ascii="Calibri" w:eastAsia="Calibri" w:hAnsi="Calibri" w:cs="Calibri"/>
          <w:sz w:val="24"/>
          <w:szCs w:val="24"/>
        </w:rPr>
      </w:pPr>
    </w:p>
    <w:p w14:paraId="45B62556" w14:textId="77777777" w:rsidR="003E624D" w:rsidRDefault="00853535">
      <w:pPr>
        <w:spacing w:line="240" w:lineRule="auto"/>
        <w:rPr>
          <w:rFonts w:ascii="Calibri" w:eastAsia="Calibri" w:hAnsi="Calibri" w:cs="Calibri"/>
          <w:sz w:val="24"/>
          <w:szCs w:val="24"/>
        </w:rPr>
      </w:pPr>
      <w:r>
        <w:rPr>
          <w:rFonts w:ascii="Calibri" w:eastAsia="Calibri" w:hAnsi="Calibri" w:cs="Calibri"/>
          <w:sz w:val="24"/>
          <w:szCs w:val="24"/>
        </w:rPr>
        <w:t>By Electronic Mail (</w:t>
      </w:r>
      <w:hyperlink r:id="rId6">
        <w:r>
          <w:rPr>
            <w:rFonts w:ascii="Calibri" w:eastAsia="Calibri" w:hAnsi="Calibri" w:cs="Calibri"/>
            <w:color w:val="1155CC"/>
            <w:sz w:val="24"/>
            <w:szCs w:val="24"/>
            <w:u w:val="single"/>
          </w:rPr>
          <w:t>vgraham@ftc.gov</w:t>
        </w:r>
      </w:hyperlink>
      <w:r>
        <w:rPr>
          <w:rFonts w:ascii="Calibri" w:eastAsia="Calibri" w:hAnsi="Calibri" w:cs="Calibri"/>
          <w:sz w:val="24"/>
          <w:szCs w:val="24"/>
        </w:rPr>
        <w:t xml:space="preserve">) </w:t>
      </w:r>
    </w:p>
    <w:p w14:paraId="77C31E1E" w14:textId="77777777" w:rsidR="003E624D" w:rsidRDefault="003E624D">
      <w:pPr>
        <w:spacing w:line="240" w:lineRule="auto"/>
        <w:rPr>
          <w:rFonts w:ascii="Calibri" w:eastAsia="Calibri" w:hAnsi="Calibri" w:cs="Calibri"/>
          <w:sz w:val="24"/>
          <w:szCs w:val="24"/>
        </w:rPr>
      </w:pPr>
    </w:p>
    <w:p w14:paraId="136768DA" w14:textId="77777777" w:rsidR="003E624D" w:rsidRDefault="00853535">
      <w:pPr>
        <w:spacing w:line="240" w:lineRule="auto"/>
        <w:rPr>
          <w:rFonts w:ascii="Calibri" w:eastAsia="Calibri" w:hAnsi="Calibri" w:cs="Calibri"/>
          <w:sz w:val="24"/>
          <w:szCs w:val="24"/>
        </w:rPr>
      </w:pPr>
      <w:r>
        <w:rPr>
          <w:rFonts w:ascii="Calibri" w:eastAsia="Calibri" w:hAnsi="Calibri" w:cs="Calibri"/>
          <w:sz w:val="24"/>
          <w:szCs w:val="24"/>
        </w:rPr>
        <w:t xml:space="preserve">Re: Draft FTC-DOJ Merger Guidelines  </w:t>
      </w:r>
    </w:p>
    <w:p w14:paraId="012E21BB" w14:textId="77777777" w:rsidR="003E624D" w:rsidRDefault="003E624D">
      <w:pPr>
        <w:spacing w:line="240" w:lineRule="auto"/>
        <w:jc w:val="both"/>
        <w:rPr>
          <w:rFonts w:ascii="Calibri" w:eastAsia="Calibri" w:hAnsi="Calibri" w:cs="Calibri"/>
          <w:sz w:val="24"/>
          <w:szCs w:val="24"/>
        </w:rPr>
      </w:pPr>
    </w:p>
    <w:p w14:paraId="61D0AEB1" w14:textId="77777777" w:rsidR="003E624D" w:rsidRDefault="00853535">
      <w:pPr>
        <w:spacing w:line="240" w:lineRule="auto"/>
        <w:jc w:val="both"/>
        <w:rPr>
          <w:rFonts w:ascii="Calibri" w:eastAsia="Calibri" w:hAnsi="Calibri" w:cs="Calibri"/>
          <w:sz w:val="24"/>
          <w:szCs w:val="24"/>
        </w:rPr>
      </w:pPr>
      <w:r>
        <w:rPr>
          <w:rFonts w:ascii="Calibri" w:eastAsia="Calibri" w:hAnsi="Calibri" w:cs="Calibri"/>
          <w:sz w:val="24"/>
          <w:szCs w:val="24"/>
        </w:rPr>
        <w:t>September 5, 2023</w:t>
      </w:r>
    </w:p>
    <w:p w14:paraId="1DCA9924" w14:textId="77777777" w:rsidR="003E624D" w:rsidRDefault="003E624D">
      <w:pPr>
        <w:spacing w:line="240" w:lineRule="auto"/>
        <w:jc w:val="both"/>
        <w:rPr>
          <w:rFonts w:ascii="Calibri" w:eastAsia="Calibri" w:hAnsi="Calibri" w:cs="Calibri"/>
          <w:sz w:val="24"/>
          <w:szCs w:val="24"/>
        </w:rPr>
      </w:pPr>
    </w:p>
    <w:p w14:paraId="0061BB0C" w14:textId="77777777" w:rsidR="003E624D" w:rsidRDefault="00853535">
      <w:pPr>
        <w:spacing w:line="240" w:lineRule="auto"/>
        <w:jc w:val="both"/>
        <w:rPr>
          <w:rFonts w:ascii="Calibri" w:eastAsia="Calibri" w:hAnsi="Calibri" w:cs="Calibri"/>
          <w:sz w:val="24"/>
          <w:szCs w:val="24"/>
        </w:rPr>
      </w:pPr>
      <w:r>
        <w:rPr>
          <w:rFonts w:ascii="Calibri" w:eastAsia="Calibri" w:hAnsi="Calibri" w:cs="Calibri"/>
          <w:sz w:val="24"/>
          <w:szCs w:val="24"/>
        </w:rPr>
        <w:t>Dear Commissioner Khan,</w:t>
      </w:r>
    </w:p>
    <w:p w14:paraId="40515AFB" w14:textId="77777777" w:rsidR="003E624D" w:rsidRDefault="003E624D">
      <w:pPr>
        <w:spacing w:line="240" w:lineRule="auto"/>
        <w:jc w:val="both"/>
        <w:rPr>
          <w:rFonts w:ascii="Calibri" w:eastAsia="Calibri" w:hAnsi="Calibri" w:cs="Calibri"/>
          <w:sz w:val="24"/>
          <w:szCs w:val="24"/>
        </w:rPr>
      </w:pPr>
    </w:p>
    <w:p w14:paraId="0C1C1BB1" w14:textId="77777777" w:rsidR="003E624D" w:rsidRDefault="00853535">
      <w:pPr>
        <w:spacing w:line="240" w:lineRule="auto"/>
        <w:jc w:val="both"/>
        <w:rPr>
          <w:rFonts w:ascii="Calibri" w:eastAsia="Calibri" w:hAnsi="Calibri" w:cs="Calibri"/>
          <w:color w:val="0A0A0A"/>
          <w:sz w:val="24"/>
          <w:szCs w:val="24"/>
        </w:rPr>
      </w:pPr>
      <w:r>
        <w:rPr>
          <w:rFonts w:ascii="Calibri" w:eastAsia="Calibri" w:hAnsi="Calibri" w:cs="Calibri"/>
          <w:color w:val="0A0A0A"/>
          <w:sz w:val="24"/>
          <w:szCs w:val="24"/>
        </w:rPr>
        <w:t>Northeast Pharmacy Service Corporation (NPSC) is a pharmacy service administrative organization (PSAO) that provides services to independent community pharmacies in New England with group purchasing opportunities, third party consultation, advocacy, regulatory affairs along with education and training on new business development.</w:t>
      </w:r>
    </w:p>
    <w:p w14:paraId="2D5F0242" w14:textId="77777777" w:rsidR="003E624D" w:rsidRDefault="003E624D">
      <w:pPr>
        <w:spacing w:line="240" w:lineRule="auto"/>
        <w:jc w:val="both"/>
        <w:rPr>
          <w:rFonts w:ascii="Calibri" w:eastAsia="Calibri" w:hAnsi="Calibri" w:cs="Calibri"/>
          <w:color w:val="0A0A0A"/>
          <w:sz w:val="24"/>
          <w:szCs w:val="24"/>
        </w:rPr>
      </w:pPr>
    </w:p>
    <w:p w14:paraId="30E67738" w14:textId="77777777" w:rsidR="003E624D" w:rsidRPr="00FB4521" w:rsidRDefault="00853535">
      <w:pPr>
        <w:spacing w:line="240" w:lineRule="auto"/>
        <w:jc w:val="both"/>
        <w:rPr>
          <w:rFonts w:ascii="Calibri" w:eastAsia="Calibri" w:hAnsi="Calibri" w:cs="Calibri"/>
          <w:sz w:val="24"/>
          <w:szCs w:val="24"/>
        </w:rPr>
      </w:pPr>
      <w:r w:rsidRPr="00FB4521">
        <w:rPr>
          <w:rFonts w:ascii="Calibri" w:eastAsia="Calibri" w:hAnsi="Calibri" w:cs="Calibri"/>
          <w:sz w:val="24"/>
          <w:szCs w:val="24"/>
        </w:rPr>
        <w:t xml:space="preserve">On behalf of NPSC and its participating pharmacies, we would like to thank you for allowing us to file our comments regarding the Draft FTC-DOJ Merger Guidelines.   </w:t>
      </w:r>
    </w:p>
    <w:p w14:paraId="14785FA3" w14:textId="77777777" w:rsidR="003E624D" w:rsidRPr="00FB4521" w:rsidRDefault="003E624D">
      <w:pPr>
        <w:spacing w:line="240" w:lineRule="auto"/>
        <w:jc w:val="both"/>
        <w:rPr>
          <w:rFonts w:ascii="Calibri" w:eastAsia="Calibri" w:hAnsi="Calibri" w:cs="Calibri"/>
          <w:sz w:val="24"/>
          <w:szCs w:val="24"/>
        </w:rPr>
      </w:pPr>
    </w:p>
    <w:p w14:paraId="68F99DD8" w14:textId="52507E17" w:rsidR="003E624D" w:rsidRPr="00FB4521" w:rsidRDefault="00853535">
      <w:pPr>
        <w:spacing w:line="240" w:lineRule="auto"/>
        <w:jc w:val="both"/>
        <w:rPr>
          <w:rFonts w:ascii="Calibri" w:eastAsia="Calibri" w:hAnsi="Calibri" w:cs="Calibri"/>
          <w:sz w:val="24"/>
          <w:szCs w:val="24"/>
        </w:rPr>
      </w:pPr>
      <w:r w:rsidRPr="00FB4521">
        <w:rPr>
          <w:rFonts w:ascii="Calibri" w:eastAsia="Calibri" w:hAnsi="Calibri" w:cs="Calibri"/>
          <w:sz w:val="24"/>
          <w:szCs w:val="24"/>
        </w:rPr>
        <w:t>As a leading voice for Massachusetts independent pharmacy, we applaud the Commission’s efforts to help level the playing field when it comes to the unfair business practices that pharmacy benefit managers</w:t>
      </w:r>
      <w:r w:rsidR="005728D6" w:rsidRPr="00FB4521">
        <w:rPr>
          <w:rFonts w:ascii="Calibri" w:eastAsia="Calibri" w:hAnsi="Calibri" w:cs="Calibri"/>
          <w:sz w:val="24"/>
          <w:szCs w:val="24"/>
        </w:rPr>
        <w:t xml:space="preserve"> (PBM’s)</w:t>
      </w:r>
      <w:r w:rsidR="00FA6B35" w:rsidRPr="00FB4521">
        <w:rPr>
          <w:rFonts w:ascii="Calibri" w:eastAsia="Calibri" w:hAnsi="Calibri" w:cs="Calibri"/>
          <w:sz w:val="24"/>
          <w:szCs w:val="24"/>
        </w:rPr>
        <w:t xml:space="preserve">.  Their operating practices </w:t>
      </w:r>
      <w:r w:rsidRPr="00FB4521">
        <w:rPr>
          <w:rFonts w:ascii="Calibri" w:eastAsia="Calibri" w:hAnsi="Calibri" w:cs="Calibri"/>
          <w:sz w:val="24"/>
          <w:szCs w:val="24"/>
        </w:rPr>
        <w:t>consistently harm both pharmacies and patient</w:t>
      </w:r>
      <w:r w:rsidR="005728D6" w:rsidRPr="00FB4521">
        <w:rPr>
          <w:rFonts w:ascii="Calibri" w:eastAsia="Calibri" w:hAnsi="Calibri" w:cs="Calibri"/>
          <w:sz w:val="24"/>
          <w:szCs w:val="24"/>
        </w:rPr>
        <w:t>s</w:t>
      </w:r>
      <w:r w:rsidRPr="00FB4521">
        <w:rPr>
          <w:rFonts w:ascii="Calibri" w:eastAsia="Calibri" w:hAnsi="Calibri" w:cs="Calibri"/>
          <w:sz w:val="24"/>
          <w:szCs w:val="24"/>
        </w:rPr>
        <w:t xml:space="preserve">. NPSC offers its full support for these draft merger guidelines.    </w:t>
      </w:r>
    </w:p>
    <w:p w14:paraId="4B29590F" w14:textId="77777777" w:rsidR="003E624D" w:rsidRPr="00FB4521" w:rsidRDefault="003E624D">
      <w:pPr>
        <w:spacing w:line="240" w:lineRule="auto"/>
        <w:jc w:val="both"/>
        <w:rPr>
          <w:rFonts w:ascii="Calibri" w:eastAsia="Calibri" w:hAnsi="Calibri" w:cs="Calibri"/>
          <w:i/>
          <w:sz w:val="24"/>
          <w:szCs w:val="24"/>
        </w:rPr>
      </w:pPr>
    </w:p>
    <w:p w14:paraId="0C4A7C61" w14:textId="60308869" w:rsidR="003E624D" w:rsidRPr="00FB4521" w:rsidRDefault="005728D6">
      <w:pPr>
        <w:spacing w:line="240" w:lineRule="auto"/>
        <w:jc w:val="both"/>
        <w:rPr>
          <w:rFonts w:ascii="Calibri" w:eastAsia="Calibri" w:hAnsi="Calibri" w:cs="Calibri"/>
          <w:sz w:val="24"/>
          <w:szCs w:val="24"/>
        </w:rPr>
      </w:pPr>
      <w:r w:rsidRPr="00FB4521">
        <w:rPr>
          <w:rFonts w:ascii="Calibri" w:eastAsia="Calibri" w:hAnsi="Calibri" w:cs="Calibri"/>
          <w:sz w:val="24"/>
          <w:szCs w:val="24"/>
        </w:rPr>
        <w:t>There have been too many mergers and acquisitions in the PBM space over the last 20+ years. Their unchecked and abusive business practices have directly resulted in less competition in the marketplace. What is needed is for the Federal Trade Commission to take a more aggressive stance in scrutinizing these mergers rather than continuing to allow them to further damage the marketplace.</w:t>
      </w:r>
    </w:p>
    <w:p w14:paraId="2092463E" w14:textId="77777777" w:rsidR="003E624D" w:rsidRPr="00FB4521" w:rsidRDefault="003E624D">
      <w:pPr>
        <w:spacing w:line="240" w:lineRule="auto"/>
        <w:jc w:val="both"/>
        <w:rPr>
          <w:rFonts w:ascii="Calibri" w:eastAsia="Calibri" w:hAnsi="Calibri" w:cs="Calibri"/>
          <w:sz w:val="24"/>
          <w:szCs w:val="24"/>
        </w:rPr>
      </w:pPr>
    </w:p>
    <w:p w14:paraId="269D8A6C" w14:textId="77777777" w:rsidR="003E624D" w:rsidRPr="00FB4521" w:rsidRDefault="00853535">
      <w:pPr>
        <w:spacing w:line="240" w:lineRule="auto"/>
        <w:jc w:val="both"/>
        <w:rPr>
          <w:rFonts w:ascii="Calibri" w:eastAsia="Calibri" w:hAnsi="Calibri" w:cs="Calibri"/>
          <w:i/>
          <w:sz w:val="24"/>
          <w:szCs w:val="24"/>
        </w:rPr>
      </w:pPr>
      <w:r w:rsidRPr="00FB4521">
        <w:rPr>
          <w:rFonts w:ascii="Calibri" w:eastAsia="Calibri" w:hAnsi="Calibri" w:cs="Calibri"/>
          <w:sz w:val="24"/>
          <w:szCs w:val="24"/>
        </w:rPr>
        <w:t xml:space="preserve">We believe that the June 1, 2023 viewpoints from the National Association of Insurance Commissioners both plainly and accurately summarizes the story that stakeholders like us see on a day to day basis: </w:t>
      </w:r>
    </w:p>
    <w:p w14:paraId="04D4192B" w14:textId="77777777" w:rsidR="003E624D" w:rsidRPr="00FB4521" w:rsidRDefault="003E624D">
      <w:pPr>
        <w:spacing w:line="240" w:lineRule="auto"/>
        <w:jc w:val="both"/>
        <w:rPr>
          <w:i/>
          <w:sz w:val="24"/>
          <w:szCs w:val="24"/>
        </w:rPr>
      </w:pPr>
    </w:p>
    <w:p w14:paraId="57D6487B" w14:textId="77777777" w:rsidR="003E624D" w:rsidRPr="00FB4521" w:rsidRDefault="00853535">
      <w:pPr>
        <w:spacing w:after="600" w:line="240" w:lineRule="auto"/>
        <w:jc w:val="both"/>
        <w:rPr>
          <w:rFonts w:ascii="Calibri" w:eastAsia="Calibri" w:hAnsi="Calibri" w:cs="Calibri"/>
          <w:i/>
          <w:sz w:val="24"/>
          <w:szCs w:val="24"/>
        </w:rPr>
      </w:pPr>
      <w:r w:rsidRPr="00FB4521">
        <w:rPr>
          <w:rFonts w:ascii="Calibri" w:eastAsia="Calibri" w:hAnsi="Calibri" w:cs="Calibri"/>
          <w:b/>
          <w:i/>
          <w:sz w:val="24"/>
          <w:szCs w:val="24"/>
        </w:rPr>
        <w:t>Background:</w:t>
      </w:r>
      <w:r w:rsidRPr="00FB4521">
        <w:rPr>
          <w:rFonts w:ascii="Calibri" w:eastAsia="Calibri" w:hAnsi="Calibri" w:cs="Calibri"/>
          <w:i/>
          <w:sz w:val="24"/>
          <w:szCs w:val="24"/>
        </w:rPr>
        <w:t xml:space="preserve"> When insurance companies began offering prescription drugs as a health plan benefit in the 1960s, PBMs were created to help insurers contain drug spending. Originally, PBMs decided which drugs were offered in formularies and administered drug claims. In the 1970s, PBMs began to adjudicate prescription drug claims. In the 1990s, drug manufacturers began acquiring PBMs. Concerns about conflicts of interest caused federal orders for divestment from the Federal Trade Commission, sparking a trend of mergers and acquisitions within the PBM field. </w:t>
      </w:r>
    </w:p>
    <w:p w14:paraId="190DC13C" w14:textId="77777777" w:rsidR="00853535" w:rsidRDefault="00853535">
      <w:pPr>
        <w:spacing w:line="240" w:lineRule="auto"/>
        <w:jc w:val="both"/>
        <w:rPr>
          <w:rFonts w:ascii="Calibri" w:eastAsia="Calibri" w:hAnsi="Calibri" w:cs="Calibri"/>
          <w:i/>
          <w:sz w:val="24"/>
          <w:szCs w:val="24"/>
        </w:rPr>
      </w:pPr>
    </w:p>
    <w:p w14:paraId="52A789EC" w14:textId="4AF44BD3" w:rsidR="003E624D" w:rsidRPr="00FB4521" w:rsidRDefault="00853535">
      <w:pPr>
        <w:spacing w:line="240" w:lineRule="auto"/>
        <w:jc w:val="both"/>
        <w:rPr>
          <w:rFonts w:ascii="Calibri" w:eastAsia="Calibri" w:hAnsi="Calibri" w:cs="Calibri"/>
          <w:i/>
          <w:sz w:val="24"/>
          <w:szCs w:val="24"/>
        </w:rPr>
      </w:pPr>
      <w:r w:rsidRPr="00FB4521">
        <w:rPr>
          <w:rFonts w:ascii="Calibri" w:eastAsia="Calibri" w:hAnsi="Calibri" w:cs="Calibri"/>
          <w:i/>
          <w:sz w:val="24"/>
          <w:szCs w:val="24"/>
        </w:rPr>
        <w:t xml:space="preserve">Today, there are 66 PBM companies, with the three largest – Express Scripts (an independent publicly-traded company), CVS Caremark (the pharmacy service segment of CVS Health and a subsidiary of the CVS drugstore chain), and OptumRx (the pharmacy service segment of UnitedHealth Group Insurance) – controlling </w:t>
      </w:r>
      <w:hyperlink r:id="rId7">
        <w:r w:rsidRPr="00FB4521">
          <w:rPr>
            <w:rFonts w:ascii="Calibri" w:eastAsia="Calibri" w:hAnsi="Calibri" w:cs="Calibri"/>
            <w:b/>
            <w:i/>
            <w:sz w:val="24"/>
            <w:szCs w:val="24"/>
          </w:rPr>
          <w:t>approximately 89%</w:t>
        </w:r>
      </w:hyperlink>
      <w:r w:rsidRPr="00FB4521">
        <w:rPr>
          <w:rFonts w:ascii="Calibri" w:eastAsia="Calibri" w:hAnsi="Calibri" w:cs="Calibri"/>
          <w:i/>
          <w:sz w:val="24"/>
          <w:szCs w:val="24"/>
        </w:rPr>
        <w:t xml:space="preserve"> of the market and serving about </w:t>
      </w:r>
      <w:hyperlink r:id="rId8">
        <w:r w:rsidRPr="00FB4521">
          <w:rPr>
            <w:rFonts w:ascii="Calibri" w:eastAsia="Calibri" w:hAnsi="Calibri" w:cs="Calibri"/>
            <w:b/>
            <w:i/>
            <w:sz w:val="24"/>
            <w:szCs w:val="24"/>
          </w:rPr>
          <w:t>270 million</w:t>
        </w:r>
      </w:hyperlink>
      <w:r w:rsidRPr="00FB4521">
        <w:rPr>
          <w:rFonts w:ascii="Calibri" w:eastAsia="Calibri" w:hAnsi="Calibri" w:cs="Calibri"/>
          <w:i/>
          <w:sz w:val="24"/>
          <w:szCs w:val="24"/>
        </w:rPr>
        <w:t xml:space="preserve"> Americans. </w:t>
      </w:r>
    </w:p>
    <w:p w14:paraId="00630A84" w14:textId="77777777" w:rsidR="003E624D" w:rsidRPr="00FB4521" w:rsidRDefault="003E624D">
      <w:pPr>
        <w:spacing w:line="240" w:lineRule="auto"/>
        <w:jc w:val="both"/>
        <w:rPr>
          <w:rFonts w:ascii="Calibri" w:eastAsia="Calibri" w:hAnsi="Calibri" w:cs="Calibri"/>
          <w:i/>
          <w:sz w:val="24"/>
          <w:szCs w:val="24"/>
        </w:rPr>
      </w:pPr>
    </w:p>
    <w:p w14:paraId="72970D04" w14:textId="77777777" w:rsidR="003E624D" w:rsidRPr="00FB4521" w:rsidRDefault="00853535">
      <w:pPr>
        <w:spacing w:line="240" w:lineRule="auto"/>
        <w:jc w:val="both"/>
        <w:rPr>
          <w:rFonts w:ascii="Calibri" w:eastAsia="Calibri" w:hAnsi="Calibri" w:cs="Calibri"/>
          <w:i/>
          <w:sz w:val="24"/>
          <w:szCs w:val="24"/>
        </w:rPr>
      </w:pPr>
      <w:r w:rsidRPr="00FB4521">
        <w:rPr>
          <w:rFonts w:ascii="Calibri" w:eastAsia="Calibri" w:hAnsi="Calibri" w:cs="Calibri"/>
          <w:i/>
          <w:sz w:val="24"/>
          <w:szCs w:val="24"/>
        </w:rPr>
        <w:t xml:space="preserve">PBMs work in conjunction with drug manufacturers, wholesalers, pharmacies, and </w:t>
      </w:r>
      <w:hyperlink r:id="rId9">
        <w:r w:rsidRPr="00FB4521">
          <w:rPr>
            <w:rFonts w:ascii="Calibri" w:eastAsia="Calibri" w:hAnsi="Calibri" w:cs="Calibri"/>
            <w:b/>
            <w:i/>
            <w:sz w:val="24"/>
            <w:szCs w:val="24"/>
          </w:rPr>
          <w:t>health insurance</w:t>
        </w:r>
      </w:hyperlink>
      <w:r w:rsidRPr="00FB4521">
        <w:rPr>
          <w:rFonts w:ascii="Calibri" w:eastAsia="Calibri" w:hAnsi="Calibri" w:cs="Calibri"/>
          <w:i/>
          <w:sz w:val="24"/>
          <w:szCs w:val="24"/>
        </w:rPr>
        <w:t xml:space="preserve"> providers but play no direct role in the physical distribution of prescription drugs, only handling negotiations and payments within the supply chain. When a new drug is available, the manufacturer negotiates with wholesalers who then sell and distribute drugs to pharmacies. PBMs negotiate agreements with drug manufacturers on behalf of insurers and are paid rebates by drug manufacturers. Pharmacy Services Administrative Organizations (PSAOs) negotiate reimbursements with PBMs on behalf of pharmacies. PBMs then pay pharmacies on behalf of health insurance providers for drugs dispensed to patients. PSAOs and PBMs are both third party companies with different functions and purposes. PSAOs represent and offer services to independent pharmacies and PBMs represent health insurers. </w:t>
      </w:r>
    </w:p>
    <w:p w14:paraId="27DB52F5" w14:textId="77777777" w:rsidR="003E624D" w:rsidRPr="00FB4521" w:rsidRDefault="003E624D">
      <w:pPr>
        <w:spacing w:line="240" w:lineRule="auto"/>
        <w:jc w:val="both"/>
        <w:rPr>
          <w:rFonts w:ascii="Calibri" w:eastAsia="Calibri" w:hAnsi="Calibri" w:cs="Calibri"/>
          <w:i/>
          <w:sz w:val="24"/>
          <w:szCs w:val="24"/>
        </w:rPr>
      </w:pPr>
    </w:p>
    <w:p w14:paraId="240A56A6" w14:textId="77777777" w:rsidR="003E624D" w:rsidRPr="00FB4521" w:rsidRDefault="00853535">
      <w:pPr>
        <w:spacing w:line="240" w:lineRule="auto"/>
        <w:jc w:val="both"/>
        <w:rPr>
          <w:rFonts w:ascii="Calibri" w:eastAsia="Calibri" w:hAnsi="Calibri" w:cs="Calibri"/>
          <w:sz w:val="24"/>
          <w:szCs w:val="24"/>
        </w:rPr>
      </w:pPr>
      <w:r w:rsidRPr="00FB4521">
        <w:rPr>
          <w:rFonts w:ascii="Calibri" w:eastAsia="Calibri" w:hAnsi="Calibri" w:cs="Calibri"/>
          <w:i/>
          <w:sz w:val="24"/>
          <w:szCs w:val="24"/>
        </w:rPr>
        <w:t xml:space="preserve">Pharmacy Benefit Managers earn profits primarily through administrative fees charged for their services, through spread pricing (the difference between what is paid to pharmacies and the negotiated payment from health plans), and shared savings where the PBM keeps part of the rebates or discounts negotiated with drug manufacturers. Concerns with PBM business practices focus on transparency to consumers regarding rebates and reimbursements. ‘Gag clauses,’ provisions in contracts between PBMs and pharmacies that prevent pharmacists from telling patients when the cash price of a drug is less than the insurance copay price, were banned in 2018 by the </w:t>
      </w:r>
      <w:hyperlink r:id="rId10">
        <w:r w:rsidRPr="00FB4521">
          <w:rPr>
            <w:rFonts w:ascii="Calibri" w:eastAsia="Calibri" w:hAnsi="Calibri" w:cs="Calibri"/>
            <w:b/>
            <w:i/>
            <w:sz w:val="24"/>
            <w:szCs w:val="24"/>
          </w:rPr>
          <w:t>Patient Right to Know Drug Prices Act, S.2554</w:t>
        </w:r>
      </w:hyperlink>
      <w:r w:rsidRPr="00FB4521">
        <w:rPr>
          <w:rFonts w:ascii="Calibri" w:eastAsia="Calibri" w:hAnsi="Calibri" w:cs="Calibri"/>
          <w:i/>
          <w:sz w:val="24"/>
          <w:szCs w:val="24"/>
        </w:rPr>
        <w:t xml:space="preserve"> and the </w:t>
      </w:r>
      <w:hyperlink r:id="rId11">
        <w:r w:rsidRPr="00FB4521">
          <w:rPr>
            <w:rFonts w:ascii="Calibri" w:eastAsia="Calibri" w:hAnsi="Calibri" w:cs="Calibri"/>
            <w:b/>
            <w:i/>
            <w:sz w:val="24"/>
            <w:szCs w:val="24"/>
          </w:rPr>
          <w:t>Know the Lowest Price Act, S.2553</w:t>
        </w:r>
      </w:hyperlink>
      <w:r w:rsidRPr="00FB4521">
        <w:rPr>
          <w:rFonts w:ascii="Calibri" w:eastAsia="Calibri" w:hAnsi="Calibri" w:cs="Calibri"/>
          <w:i/>
          <w:sz w:val="24"/>
          <w:szCs w:val="24"/>
        </w:rPr>
        <w:t xml:space="preserve"> to promote transparency toward patients. In a 2019 study, the Government Accountability Office reported that PBMs retain less than 1 percent of rebates in a review of Medicare Part D plans, while passing the rest on to consumers. Medicare Part D rebates accounted for </w:t>
      </w:r>
      <w:hyperlink r:id="rId12">
        <w:r w:rsidRPr="00FB4521">
          <w:rPr>
            <w:rFonts w:ascii="Calibri" w:eastAsia="Calibri" w:hAnsi="Calibri" w:cs="Calibri"/>
            <w:b/>
            <w:i/>
            <w:sz w:val="24"/>
            <w:szCs w:val="24"/>
          </w:rPr>
          <w:t>$18 billion</w:t>
        </w:r>
      </w:hyperlink>
      <w:r w:rsidRPr="00FB4521">
        <w:rPr>
          <w:rFonts w:ascii="Calibri" w:eastAsia="Calibri" w:hAnsi="Calibri" w:cs="Calibri"/>
          <w:i/>
          <w:sz w:val="24"/>
          <w:szCs w:val="24"/>
        </w:rPr>
        <w:t xml:space="preserve"> of the $26.7 billion in rebates in 2016.  A study conducted by the Office of Inspector General found that in Part D, rebate-adjusted unit costs increased at almost the same rate as non-rebate-adjusted costs in a 5-year period.</w:t>
      </w:r>
      <w:r w:rsidRPr="00FB4521">
        <w:rPr>
          <w:rFonts w:ascii="Calibri" w:eastAsia="Calibri" w:hAnsi="Calibri" w:cs="Calibri"/>
          <w:sz w:val="24"/>
          <w:szCs w:val="24"/>
          <w:vertAlign w:val="superscript"/>
        </w:rPr>
        <w:footnoteReference w:id="1"/>
      </w:r>
      <w:r w:rsidRPr="00FB4521">
        <w:rPr>
          <w:rFonts w:ascii="Calibri" w:eastAsia="Calibri" w:hAnsi="Calibri" w:cs="Calibri"/>
          <w:i/>
          <w:sz w:val="24"/>
          <w:szCs w:val="24"/>
        </w:rPr>
        <w:t xml:space="preserve">  </w:t>
      </w:r>
      <w:r w:rsidRPr="00FB4521">
        <w:rPr>
          <w:rFonts w:ascii="Calibri" w:eastAsia="Calibri" w:hAnsi="Calibri" w:cs="Calibri"/>
          <w:sz w:val="24"/>
          <w:szCs w:val="24"/>
        </w:rPr>
        <w:t xml:space="preserve">  </w:t>
      </w:r>
    </w:p>
    <w:p w14:paraId="3BAAE962" w14:textId="77777777" w:rsidR="003E624D" w:rsidRPr="00FB4521" w:rsidRDefault="003E624D">
      <w:pPr>
        <w:spacing w:line="240" w:lineRule="auto"/>
        <w:jc w:val="both"/>
        <w:rPr>
          <w:rFonts w:ascii="Calibri" w:eastAsia="Calibri" w:hAnsi="Calibri" w:cs="Calibri"/>
          <w:sz w:val="24"/>
          <w:szCs w:val="24"/>
        </w:rPr>
      </w:pPr>
    </w:p>
    <w:p w14:paraId="7ED56A96" w14:textId="77777777" w:rsidR="00853535" w:rsidRDefault="00853535">
      <w:pPr>
        <w:spacing w:line="240" w:lineRule="auto"/>
        <w:jc w:val="both"/>
        <w:rPr>
          <w:rFonts w:ascii="Calibri" w:eastAsia="Calibri" w:hAnsi="Calibri" w:cs="Calibri"/>
          <w:sz w:val="24"/>
          <w:szCs w:val="24"/>
        </w:rPr>
      </w:pPr>
      <w:r w:rsidRPr="00FB4521">
        <w:rPr>
          <w:rFonts w:ascii="Calibri" w:eastAsia="Calibri" w:hAnsi="Calibri" w:cs="Calibri"/>
          <w:sz w:val="24"/>
          <w:szCs w:val="24"/>
        </w:rPr>
        <w:t>NPSC ha</w:t>
      </w:r>
      <w:r w:rsidR="005728D6" w:rsidRPr="00FB4521">
        <w:rPr>
          <w:rFonts w:ascii="Calibri" w:eastAsia="Calibri" w:hAnsi="Calibri" w:cs="Calibri"/>
          <w:sz w:val="24"/>
          <w:szCs w:val="24"/>
        </w:rPr>
        <w:t>s</w:t>
      </w:r>
      <w:r w:rsidRPr="00FB4521">
        <w:rPr>
          <w:rFonts w:ascii="Calibri" w:eastAsia="Calibri" w:hAnsi="Calibri" w:cs="Calibri"/>
          <w:sz w:val="24"/>
          <w:szCs w:val="24"/>
        </w:rPr>
        <w:t xml:space="preserve"> both written and advocated for laws across New England for our participating pharmacies</w:t>
      </w:r>
      <w:r w:rsidR="00F63866" w:rsidRPr="00FB4521">
        <w:rPr>
          <w:rFonts w:ascii="Calibri" w:eastAsia="Calibri" w:hAnsi="Calibri" w:cs="Calibri"/>
          <w:sz w:val="24"/>
          <w:szCs w:val="24"/>
        </w:rPr>
        <w:t>.  Other groups and associations across this country have done the same.</w:t>
      </w:r>
      <w:r w:rsidRPr="00FB4521">
        <w:rPr>
          <w:rFonts w:ascii="Calibri" w:eastAsia="Calibri" w:hAnsi="Calibri" w:cs="Calibri"/>
          <w:sz w:val="24"/>
          <w:szCs w:val="24"/>
        </w:rPr>
        <w:t xml:space="preserve"> In </w:t>
      </w:r>
      <w:r w:rsidR="00F63866" w:rsidRPr="00FB4521">
        <w:rPr>
          <w:rFonts w:ascii="Calibri" w:eastAsia="Calibri" w:hAnsi="Calibri" w:cs="Calibri"/>
          <w:sz w:val="24"/>
          <w:szCs w:val="24"/>
        </w:rPr>
        <w:t>fact,</w:t>
      </w:r>
      <w:r w:rsidRPr="00FB4521">
        <w:rPr>
          <w:rFonts w:ascii="Calibri" w:eastAsia="Calibri" w:hAnsi="Calibri" w:cs="Calibri"/>
          <w:sz w:val="24"/>
          <w:szCs w:val="24"/>
        </w:rPr>
        <w:t xml:space="preserve"> all fifty (50) states</w:t>
      </w:r>
      <w:r w:rsidRPr="00FB4521">
        <w:rPr>
          <w:rFonts w:ascii="Calibri" w:eastAsia="Calibri" w:hAnsi="Calibri" w:cs="Calibri"/>
          <w:sz w:val="24"/>
          <w:szCs w:val="24"/>
          <w:vertAlign w:val="superscript"/>
        </w:rPr>
        <w:footnoteReference w:id="2"/>
      </w:r>
      <w:r w:rsidRPr="00FB4521">
        <w:rPr>
          <w:rFonts w:ascii="Calibri" w:eastAsia="Calibri" w:hAnsi="Calibri" w:cs="Calibri"/>
          <w:sz w:val="24"/>
          <w:szCs w:val="24"/>
        </w:rPr>
        <w:t xml:space="preserve"> have passed PBM legislation on several topics ranging from maximum allowable cost, any willing provider, audits, gag clauses, licensure, </w:t>
      </w:r>
      <w:r w:rsidR="00F63866" w:rsidRPr="00FB4521">
        <w:rPr>
          <w:rFonts w:ascii="Calibri" w:eastAsia="Calibri" w:hAnsi="Calibri" w:cs="Calibri"/>
          <w:sz w:val="24"/>
          <w:szCs w:val="24"/>
        </w:rPr>
        <w:t xml:space="preserve">claw backs and the like.  </w:t>
      </w:r>
      <w:r w:rsidRPr="00FB4521">
        <w:rPr>
          <w:rFonts w:ascii="Calibri" w:eastAsia="Calibri" w:hAnsi="Calibri" w:cs="Calibri"/>
          <w:sz w:val="24"/>
          <w:szCs w:val="24"/>
        </w:rPr>
        <w:t xml:space="preserve"> </w:t>
      </w:r>
      <w:r w:rsidR="00F63866" w:rsidRPr="00FB4521">
        <w:rPr>
          <w:rFonts w:ascii="Calibri" w:eastAsia="Calibri" w:hAnsi="Calibri" w:cs="Calibri"/>
          <w:sz w:val="24"/>
          <w:szCs w:val="24"/>
        </w:rPr>
        <w:t>However,</w:t>
      </w:r>
      <w:r w:rsidRPr="00FB4521">
        <w:rPr>
          <w:rFonts w:ascii="Calibri" w:eastAsia="Calibri" w:hAnsi="Calibri" w:cs="Calibri"/>
          <w:sz w:val="24"/>
          <w:szCs w:val="24"/>
        </w:rPr>
        <w:t xml:space="preserve"> while </w:t>
      </w:r>
    </w:p>
    <w:p w14:paraId="75C82CAE" w14:textId="77777777" w:rsidR="00853535" w:rsidRDefault="00853535">
      <w:pPr>
        <w:spacing w:line="240" w:lineRule="auto"/>
        <w:jc w:val="both"/>
        <w:rPr>
          <w:rFonts w:ascii="Calibri" w:eastAsia="Calibri" w:hAnsi="Calibri" w:cs="Calibri"/>
          <w:sz w:val="24"/>
          <w:szCs w:val="24"/>
        </w:rPr>
      </w:pPr>
    </w:p>
    <w:p w14:paraId="26C82E98" w14:textId="5C66FB6B" w:rsidR="003E624D" w:rsidRPr="00FB4521" w:rsidRDefault="00853535">
      <w:pPr>
        <w:spacing w:line="240" w:lineRule="auto"/>
        <w:jc w:val="both"/>
        <w:rPr>
          <w:rFonts w:ascii="Calibri" w:eastAsia="Calibri" w:hAnsi="Calibri" w:cs="Calibri"/>
          <w:sz w:val="24"/>
          <w:szCs w:val="24"/>
        </w:rPr>
      </w:pPr>
      <w:r w:rsidRPr="00FB4521">
        <w:rPr>
          <w:rFonts w:ascii="Calibri" w:eastAsia="Calibri" w:hAnsi="Calibri" w:cs="Calibri"/>
          <w:sz w:val="24"/>
          <w:szCs w:val="24"/>
        </w:rPr>
        <w:t>it has been a relief to have state PBM legislation, state oversight is sporadic</w:t>
      </w:r>
      <w:r w:rsidR="00F63866" w:rsidRPr="00FB4521">
        <w:rPr>
          <w:rFonts w:ascii="Calibri" w:eastAsia="Calibri" w:hAnsi="Calibri" w:cs="Calibri"/>
          <w:sz w:val="24"/>
          <w:szCs w:val="24"/>
        </w:rPr>
        <w:t>.  W</w:t>
      </w:r>
      <w:r w:rsidRPr="00FB4521">
        <w:rPr>
          <w:rFonts w:ascii="Calibri" w:eastAsia="Calibri" w:hAnsi="Calibri" w:cs="Calibri"/>
          <w:sz w:val="24"/>
          <w:szCs w:val="24"/>
        </w:rPr>
        <w:t xml:space="preserve">e need not only federal legislation but an FTC willing to enforce the Clayton Act in a meaningful way to avoid </w:t>
      </w:r>
      <w:r>
        <w:rPr>
          <w:rFonts w:ascii="Calibri" w:eastAsia="Calibri" w:hAnsi="Calibri" w:cs="Calibri"/>
          <w:sz w:val="24"/>
          <w:szCs w:val="24"/>
        </w:rPr>
        <w:t xml:space="preserve">marketplace </w:t>
      </w:r>
      <w:r w:rsidR="009829A1" w:rsidRPr="00FB4521">
        <w:rPr>
          <w:rFonts w:ascii="Calibri" w:eastAsia="Calibri" w:hAnsi="Calibri" w:cs="Calibri"/>
          <w:sz w:val="24"/>
          <w:szCs w:val="24"/>
        </w:rPr>
        <w:t>concentration</w:t>
      </w:r>
      <w:r w:rsidR="00FB4521">
        <w:rPr>
          <w:rFonts w:ascii="Calibri" w:eastAsia="Calibri" w:hAnsi="Calibri" w:cs="Calibri"/>
          <w:sz w:val="24"/>
          <w:szCs w:val="24"/>
        </w:rPr>
        <w:t>.</w:t>
      </w:r>
      <w:r w:rsidRPr="00FB4521">
        <w:rPr>
          <w:rFonts w:ascii="Calibri" w:eastAsia="Calibri" w:hAnsi="Calibri" w:cs="Calibri"/>
          <w:sz w:val="24"/>
          <w:szCs w:val="24"/>
        </w:rPr>
        <w:t xml:space="preserve"> </w:t>
      </w:r>
      <w:r>
        <w:rPr>
          <w:rFonts w:ascii="Calibri" w:eastAsia="Calibri" w:hAnsi="Calibri" w:cs="Calibri"/>
          <w:sz w:val="24"/>
          <w:szCs w:val="24"/>
        </w:rPr>
        <w:t xml:space="preserve">We have been highly encouraged by </w:t>
      </w:r>
      <w:r w:rsidR="00F63866">
        <w:rPr>
          <w:rFonts w:ascii="Calibri" w:eastAsia="Calibri" w:hAnsi="Calibri" w:cs="Calibri"/>
          <w:sz w:val="24"/>
          <w:szCs w:val="24"/>
        </w:rPr>
        <w:t xml:space="preserve">the actions of the </w:t>
      </w:r>
      <w:r w:rsidR="009829A1">
        <w:rPr>
          <w:rFonts w:ascii="Calibri" w:eastAsia="Calibri" w:hAnsi="Calibri" w:cs="Calibri"/>
          <w:sz w:val="24"/>
          <w:szCs w:val="24"/>
        </w:rPr>
        <w:t xml:space="preserve">FTC </w:t>
      </w:r>
      <w:r w:rsidR="00FB4521" w:rsidRPr="00FB4521">
        <w:rPr>
          <w:rFonts w:ascii="Calibri" w:eastAsia="Calibri" w:hAnsi="Calibri" w:cs="Calibri"/>
          <w:sz w:val="24"/>
          <w:szCs w:val="24"/>
        </w:rPr>
        <w:t>under your leadership.</w:t>
      </w:r>
    </w:p>
    <w:p w14:paraId="68B03676" w14:textId="77777777" w:rsidR="003E624D" w:rsidRDefault="003E624D">
      <w:pPr>
        <w:spacing w:line="240" w:lineRule="auto"/>
        <w:jc w:val="both"/>
        <w:rPr>
          <w:rFonts w:ascii="Calibri" w:eastAsia="Calibri" w:hAnsi="Calibri" w:cs="Calibri"/>
          <w:sz w:val="24"/>
          <w:szCs w:val="24"/>
        </w:rPr>
      </w:pPr>
    </w:p>
    <w:p w14:paraId="4B264461" w14:textId="6E4D9C94" w:rsidR="003E624D" w:rsidRDefault="00853535">
      <w:pPr>
        <w:spacing w:line="240" w:lineRule="auto"/>
        <w:jc w:val="both"/>
        <w:rPr>
          <w:rFonts w:ascii="Calibri" w:eastAsia="Calibri" w:hAnsi="Calibri" w:cs="Calibri"/>
          <w:sz w:val="24"/>
          <w:szCs w:val="24"/>
        </w:rPr>
      </w:pPr>
      <w:r>
        <w:rPr>
          <w:rFonts w:ascii="Calibri" w:eastAsia="Calibri" w:hAnsi="Calibri" w:cs="Calibri"/>
          <w:sz w:val="24"/>
          <w:szCs w:val="24"/>
        </w:rPr>
        <w:t>As far as the actual proposed draft merger guidelines</w:t>
      </w:r>
      <w:r w:rsidR="009829A1">
        <w:rPr>
          <w:rFonts w:ascii="Calibri" w:eastAsia="Calibri" w:hAnsi="Calibri" w:cs="Calibri"/>
          <w:sz w:val="24"/>
          <w:szCs w:val="24"/>
        </w:rPr>
        <w:t xml:space="preserve"> are concerned, we</w:t>
      </w:r>
      <w:r>
        <w:rPr>
          <w:rFonts w:ascii="Calibri" w:eastAsia="Calibri" w:hAnsi="Calibri" w:cs="Calibri"/>
          <w:sz w:val="24"/>
          <w:szCs w:val="24"/>
        </w:rPr>
        <w:t xml:space="preserve"> agree with everything proposed. We are aware of the FTC’s updates to these guidelines since 1968. With the </w:t>
      </w:r>
      <w:r w:rsidR="00C55CE3">
        <w:rPr>
          <w:rFonts w:ascii="Calibri" w:eastAsia="Calibri" w:hAnsi="Calibri" w:cs="Calibri"/>
          <w:sz w:val="24"/>
          <w:szCs w:val="24"/>
        </w:rPr>
        <w:t xml:space="preserve">current </w:t>
      </w:r>
      <w:r>
        <w:rPr>
          <w:rFonts w:ascii="Calibri" w:eastAsia="Calibri" w:hAnsi="Calibri" w:cs="Calibri"/>
          <w:sz w:val="24"/>
          <w:szCs w:val="24"/>
        </w:rPr>
        <w:t>marketplace</w:t>
      </w:r>
      <w:r w:rsidR="00C55CE3">
        <w:rPr>
          <w:rFonts w:ascii="Calibri" w:eastAsia="Calibri" w:hAnsi="Calibri" w:cs="Calibri"/>
          <w:sz w:val="24"/>
          <w:szCs w:val="24"/>
        </w:rPr>
        <w:t xml:space="preserve"> that pharmacies are working in being so out of balance, we believe</w:t>
      </w:r>
      <w:r>
        <w:rPr>
          <w:rFonts w:ascii="Calibri" w:eastAsia="Calibri" w:hAnsi="Calibri" w:cs="Calibri"/>
          <w:sz w:val="24"/>
          <w:szCs w:val="24"/>
        </w:rPr>
        <w:t xml:space="preserve"> we need a revised set of guidelines that captures the essence of what community pharmacies face today.</w:t>
      </w:r>
    </w:p>
    <w:p w14:paraId="161A0C37" w14:textId="77777777" w:rsidR="003E624D" w:rsidRDefault="003E624D">
      <w:pPr>
        <w:spacing w:line="240" w:lineRule="auto"/>
        <w:jc w:val="both"/>
        <w:rPr>
          <w:rFonts w:ascii="Calibri" w:eastAsia="Calibri" w:hAnsi="Calibri" w:cs="Calibri"/>
          <w:sz w:val="24"/>
          <w:szCs w:val="24"/>
        </w:rPr>
      </w:pPr>
    </w:p>
    <w:p w14:paraId="00535EB2" w14:textId="77777777" w:rsidR="003E624D" w:rsidRDefault="00853535">
      <w:pPr>
        <w:spacing w:after="600"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We appreciate you allowing us to pass along our viewpoints and we stand by to readily serve as a resource to you.</w:t>
      </w:r>
    </w:p>
    <w:p w14:paraId="1964756F" w14:textId="77777777" w:rsidR="003E624D" w:rsidRDefault="003E624D">
      <w:pPr>
        <w:spacing w:line="240" w:lineRule="auto"/>
        <w:jc w:val="both"/>
        <w:rPr>
          <w:rFonts w:ascii="Calibri" w:eastAsia="Calibri" w:hAnsi="Calibri" w:cs="Calibri"/>
          <w:color w:val="0A0A0A"/>
          <w:sz w:val="24"/>
          <w:szCs w:val="24"/>
          <w:highlight w:val="white"/>
        </w:rPr>
      </w:pPr>
    </w:p>
    <w:p w14:paraId="3DF9E197" w14:textId="77777777" w:rsidR="003E624D" w:rsidRDefault="00853535">
      <w:p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Sincerely,</w:t>
      </w:r>
    </w:p>
    <w:p w14:paraId="365043E4" w14:textId="77777777" w:rsidR="003E624D" w:rsidRDefault="003E624D">
      <w:pPr>
        <w:spacing w:line="240" w:lineRule="auto"/>
        <w:jc w:val="both"/>
        <w:rPr>
          <w:rFonts w:ascii="Calibri" w:eastAsia="Calibri" w:hAnsi="Calibri" w:cs="Calibri"/>
          <w:color w:val="0A0A0A"/>
          <w:sz w:val="4"/>
          <w:szCs w:val="4"/>
        </w:rPr>
      </w:pPr>
    </w:p>
    <w:p w14:paraId="40494C4F" w14:textId="77777777" w:rsidR="003E624D" w:rsidRDefault="00853535">
      <w:pPr>
        <w:spacing w:line="240" w:lineRule="auto"/>
        <w:rPr>
          <w:rFonts w:ascii="Calibri" w:eastAsia="Calibri" w:hAnsi="Calibri" w:cs="Calibri"/>
          <w:color w:val="0A0A0A"/>
          <w:sz w:val="24"/>
          <w:szCs w:val="24"/>
        </w:rPr>
      </w:pPr>
      <w:r>
        <w:rPr>
          <w:rFonts w:ascii="Calibri" w:eastAsia="Calibri" w:hAnsi="Calibri" w:cs="Calibri"/>
          <w:noProof/>
          <w:color w:val="0A0A0A"/>
          <w:sz w:val="24"/>
          <w:szCs w:val="24"/>
        </w:rPr>
        <w:drawing>
          <wp:inline distT="0" distB="0" distL="0" distR="0" wp14:anchorId="5294AE69" wp14:editId="2CF3E1B7">
            <wp:extent cx="1687265" cy="747888"/>
            <wp:effectExtent l="0" t="0" r="0" b="0"/>
            <wp:docPr id="3" name="image2.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etter&#10;&#10;Description automatically generated"/>
                    <pic:cNvPicPr preferRelativeResize="0"/>
                  </pic:nvPicPr>
                  <pic:blipFill>
                    <a:blip r:embed="rId13"/>
                    <a:srcRect/>
                    <a:stretch>
                      <a:fillRect/>
                    </a:stretch>
                  </pic:blipFill>
                  <pic:spPr>
                    <a:xfrm>
                      <a:off x="0" y="0"/>
                      <a:ext cx="1687265" cy="747888"/>
                    </a:xfrm>
                    <a:prstGeom prst="rect">
                      <a:avLst/>
                    </a:prstGeom>
                    <a:ln/>
                  </pic:spPr>
                </pic:pic>
              </a:graphicData>
            </a:graphic>
          </wp:inline>
        </w:drawing>
      </w:r>
      <w:r>
        <w:rPr>
          <w:rFonts w:ascii="Calibri" w:eastAsia="Calibri" w:hAnsi="Calibri" w:cs="Calibri"/>
          <w:color w:val="0A0A0A"/>
          <w:sz w:val="24"/>
          <w:szCs w:val="24"/>
          <w:highlight w:val="white"/>
        </w:rPr>
        <w:tab/>
      </w:r>
      <w:r>
        <w:rPr>
          <w:rFonts w:ascii="Calibri" w:eastAsia="Calibri" w:hAnsi="Calibri" w:cs="Calibri"/>
          <w:noProof/>
          <w:color w:val="0A0A0A"/>
          <w:sz w:val="24"/>
          <w:szCs w:val="24"/>
        </w:rPr>
        <w:drawing>
          <wp:inline distT="0" distB="0" distL="0" distR="0" wp14:anchorId="2326EEB7" wp14:editId="27A0B607">
            <wp:extent cx="1514958" cy="636167"/>
            <wp:effectExtent l="0" t="0" r="0" b="0"/>
            <wp:docPr id="1"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14"/>
                    <a:srcRect/>
                    <a:stretch>
                      <a:fillRect/>
                    </a:stretch>
                  </pic:blipFill>
                  <pic:spPr>
                    <a:xfrm>
                      <a:off x="0" y="0"/>
                      <a:ext cx="1514958" cy="636167"/>
                    </a:xfrm>
                    <a:prstGeom prst="rect">
                      <a:avLst/>
                    </a:prstGeom>
                    <a:ln/>
                  </pic:spPr>
                </pic:pic>
              </a:graphicData>
            </a:graphic>
          </wp:inline>
        </w:drawing>
      </w:r>
      <w:r>
        <w:rPr>
          <w:rFonts w:ascii="Calibri" w:eastAsia="Calibri" w:hAnsi="Calibri" w:cs="Calibri"/>
          <w:color w:val="0A0A0A"/>
          <w:sz w:val="24"/>
          <w:szCs w:val="24"/>
          <w:highlight w:val="white"/>
        </w:rPr>
        <w:tab/>
      </w:r>
      <w:r>
        <w:rPr>
          <w:rFonts w:ascii="Calibri" w:eastAsia="Calibri" w:hAnsi="Calibri" w:cs="Calibri"/>
          <w:noProof/>
          <w:color w:val="0A0A0A"/>
          <w:sz w:val="24"/>
          <w:szCs w:val="24"/>
        </w:rPr>
        <w:drawing>
          <wp:inline distT="0" distB="0" distL="0" distR="0" wp14:anchorId="5B73F253" wp14:editId="0A243472">
            <wp:extent cx="1805392" cy="660385"/>
            <wp:effectExtent l="0" t="0" r="0" b="0"/>
            <wp:docPr id="2" name="image3.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clipart&#10;&#10;Description automatically generated"/>
                    <pic:cNvPicPr preferRelativeResize="0"/>
                  </pic:nvPicPr>
                  <pic:blipFill>
                    <a:blip r:embed="rId15"/>
                    <a:srcRect/>
                    <a:stretch>
                      <a:fillRect/>
                    </a:stretch>
                  </pic:blipFill>
                  <pic:spPr>
                    <a:xfrm>
                      <a:off x="0" y="0"/>
                      <a:ext cx="1805392" cy="660385"/>
                    </a:xfrm>
                    <a:prstGeom prst="rect">
                      <a:avLst/>
                    </a:prstGeom>
                    <a:ln/>
                  </pic:spPr>
                </pic:pic>
              </a:graphicData>
            </a:graphic>
          </wp:inline>
        </w:drawing>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r>
      <w:r>
        <w:rPr>
          <w:rFonts w:ascii="Calibri" w:eastAsia="Calibri" w:hAnsi="Calibri" w:cs="Calibri"/>
          <w:color w:val="0A0A0A"/>
          <w:sz w:val="24"/>
          <w:szCs w:val="24"/>
        </w:rPr>
        <w:t xml:space="preserve">  </w:t>
      </w:r>
      <w:r>
        <w:rPr>
          <w:rFonts w:ascii="Calibri" w:eastAsia="Calibri" w:hAnsi="Calibri" w:cs="Calibri"/>
          <w:color w:val="0A0A0A"/>
          <w:sz w:val="24"/>
          <w:szCs w:val="24"/>
        </w:rPr>
        <w:tab/>
      </w:r>
      <w:r>
        <w:rPr>
          <w:rFonts w:ascii="Calibri" w:eastAsia="Calibri" w:hAnsi="Calibri" w:cs="Calibri"/>
          <w:color w:val="0A0A0A"/>
          <w:sz w:val="24"/>
          <w:szCs w:val="24"/>
        </w:rPr>
        <w:tab/>
      </w:r>
    </w:p>
    <w:p w14:paraId="57013B4E" w14:textId="77777777" w:rsidR="003E624D" w:rsidRDefault="00853535">
      <w:p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Patricia Monaco</w:t>
      </w:r>
      <w:r>
        <w:rPr>
          <w:rFonts w:ascii="Calibri" w:eastAsia="Calibri" w:hAnsi="Calibri" w:cs="Calibri"/>
          <w:color w:val="0A0A0A"/>
          <w:sz w:val="24"/>
          <w:szCs w:val="24"/>
          <w:highlight w:val="white"/>
        </w:rPr>
        <w:tab/>
      </w:r>
      <w:r>
        <w:rPr>
          <w:rFonts w:ascii="Calibri" w:eastAsia="Calibri" w:hAnsi="Calibri" w:cs="Calibri"/>
          <w:color w:val="0A0A0A"/>
          <w:sz w:val="24"/>
          <w:szCs w:val="24"/>
        </w:rPr>
        <w:tab/>
      </w:r>
      <w:r>
        <w:rPr>
          <w:rFonts w:ascii="Calibri" w:eastAsia="Calibri" w:hAnsi="Calibri" w:cs="Calibri"/>
          <w:sz w:val="24"/>
          <w:szCs w:val="24"/>
        </w:rPr>
        <w:t>Ron Lanton III, Esq.</w:t>
      </w:r>
      <w:r>
        <w:rPr>
          <w:rFonts w:ascii="Calibri" w:eastAsia="Calibri" w:hAnsi="Calibri" w:cs="Calibri"/>
          <w:sz w:val="24"/>
          <w:szCs w:val="24"/>
        </w:rPr>
        <w:tab/>
      </w:r>
      <w:r>
        <w:rPr>
          <w:rFonts w:ascii="Calibri" w:eastAsia="Calibri" w:hAnsi="Calibri" w:cs="Calibri"/>
          <w:sz w:val="24"/>
          <w:szCs w:val="24"/>
        </w:rPr>
        <w:tab/>
        <w:t>David G. Benoit, MHP, RPh.</w:t>
      </w:r>
      <w:r>
        <w:rPr>
          <w:rFonts w:ascii="Calibri" w:eastAsia="Calibri" w:hAnsi="Calibri" w:cs="Calibri"/>
          <w:sz w:val="24"/>
          <w:szCs w:val="24"/>
        </w:rPr>
        <w:tab/>
      </w:r>
    </w:p>
    <w:p w14:paraId="654CF98C" w14:textId="77777777" w:rsidR="003E624D" w:rsidRDefault="00853535">
      <w:p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President/CEO</w:t>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r>
      <w:r>
        <w:rPr>
          <w:rFonts w:ascii="Calibri" w:eastAsia="Calibri" w:hAnsi="Calibri" w:cs="Calibri"/>
          <w:sz w:val="24"/>
          <w:szCs w:val="24"/>
        </w:rPr>
        <w:tab/>
      </w:r>
      <w:r>
        <w:rPr>
          <w:rFonts w:ascii="Calibri" w:eastAsia="Calibri" w:hAnsi="Calibri" w:cs="Calibri"/>
          <w:color w:val="0A0A0A"/>
          <w:sz w:val="24"/>
          <w:szCs w:val="24"/>
          <w:highlight w:val="white"/>
        </w:rPr>
        <w:t>Corporate Counsel</w:t>
      </w:r>
      <w:r>
        <w:rPr>
          <w:rFonts w:ascii="Calibri" w:eastAsia="Calibri" w:hAnsi="Calibri" w:cs="Calibri"/>
          <w:color w:val="0A0A0A"/>
          <w:sz w:val="24"/>
          <w:szCs w:val="24"/>
        </w:rPr>
        <w:tab/>
      </w:r>
      <w:r>
        <w:rPr>
          <w:rFonts w:ascii="Calibri" w:eastAsia="Calibri" w:hAnsi="Calibri" w:cs="Calibri"/>
          <w:color w:val="0A0A0A"/>
          <w:sz w:val="24"/>
          <w:szCs w:val="24"/>
        </w:rPr>
        <w:tab/>
      </w:r>
      <w:r>
        <w:rPr>
          <w:rFonts w:ascii="Calibri" w:eastAsia="Calibri" w:hAnsi="Calibri" w:cs="Calibri"/>
          <w:sz w:val="24"/>
          <w:szCs w:val="24"/>
          <w:highlight w:val="white"/>
        </w:rPr>
        <w:t>VP, Patient Care Services</w:t>
      </w:r>
    </w:p>
    <w:p w14:paraId="550E645F" w14:textId="77777777" w:rsidR="003E624D" w:rsidRDefault="00853535">
      <w:p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Northeast Pharmacy</w:t>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r>
      <w:r>
        <w:rPr>
          <w:rFonts w:ascii="Calibri" w:eastAsia="Calibri" w:hAnsi="Calibri" w:cs="Calibri"/>
          <w:sz w:val="24"/>
          <w:szCs w:val="24"/>
        </w:rPr>
        <w:t>Northeast Pharmacy</w:t>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t>Northeast Pharmacy</w:t>
      </w:r>
      <w:r>
        <w:rPr>
          <w:rFonts w:ascii="Calibri" w:eastAsia="Calibri" w:hAnsi="Calibri" w:cs="Calibri"/>
          <w:color w:val="0A0A0A"/>
          <w:sz w:val="24"/>
          <w:szCs w:val="24"/>
          <w:highlight w:val="white"/>
        </w:rPr>
        <w:tab/>
        <w:t xml:space="preserve"> </w:t>
      </w:r>
      <w:r>
        <w:rPr>
          <w:rFonts w:ascii="Calibri" w:eastAsia="Calibri" w:hAnsi="Calibri" w:cs="Calibri"/>
          <w:color w:val="0A0A0A"/>
          <w:sz w:val="24"/>
          <w:szCs w:val="24"/>
          <w:highlight w:val="white"/>
        </w:rPr>
        <w:tab/>
      </w:r>
    </w:p>
    <w:p w14:paraId="242D7BA9" w14:textId="77777777" w:rsidR="003E624D" w:rsidRDefault="00853535">
      <w:p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Service Corporation</w:t>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t>Service Corporation</w:t>
      </w:r>
      <w:r>
        <w:rPr>
          <w:rFonts w:ascii="Calibri" w:eastAsia="Calibri" w:hAnsi="Calibri" w:cs="Calibri"/>
          <w:color w:val="0A0A0A"/>
          <w:sz w:val="24"/>
          <w:szCs w:val="24"/>
          <w:highlight w:val="white"/>
        </w:rPr>
        <w:tab/>
      </w:r>
      <w:r>
        <w:rPr>
          <w:rFonts w:ascii="Calibri" w:eastAsia="Calibri" w:hAnsi="Calibri" w:cs="Calibri"/>
          <w:color w:val="0A0A0A"/>
          <w:sz w:val="24"/>
          <w:szCs w:val="24"/>
          <w:highlight w:val="white"/>
        </w:rPr>
        <w:tab/>
        <w:t>Service Corporation</w:t>
      </w:r>
    </w:p>
    <w:p w14:paraId="7FEDD27D" w14:textId="77777777" w:rsidR="003E624D" w:rsidRDefault="003E624D">
      <w:pPr>
        <w:spacing w:line="240" w:lineRule="auto"/>
        <w:jc w:val="both"/>
        <w:rPr>
          <w:rFonts w:ascii="Calibri" w:eastAsia="Calibri" w:hAnsi="Calibri" w:cs="Calibri"/>
          <w:color w:val="0A0A0A"/>
          <w:sz w:val="24"/>
          <w:szCs w:val="24"/>
          <w:highlight w:val="white"/>
        </w:rPr>
      </w:pPr>
    </w:p>
    <w:p w14:paraId="61B10C48" w14:textId="77777777" w:rsidR="003E624D" w:rsidRDefault="003E624D"/>
    <w:p w14:paraId="6030FE32" w14:textId="77777777" w:rsidR="003E624D" w:rsidRDefault="003E624D"/>
    <w:sectPr w:rsidR="003E624D" w:rsidSect="007826D6">
      <w:headerReference w:type="default" r:id="rId16"/>
      <w:footerReference w:type="default" r:id="rId17"/>
      <w:headerReference w:type="first" r:id="rId18"/>
      <w:footerReference w:type="first" r:id="rId19"/>
      <w:pgSz w:w="12240" w:h="15840" w:code="1"/>
      <w:pgMar w:top="1440" w:right="1440" w:bottom="1440" w:left="144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57D2" w14:textId="77777777" w:rsidR="00A40DF2" w:rsidRDefault="00A40DF2">
      <w:pPr>
        <w:spacing w:line="240" w:lineRule="auto"/>
      </w:pPr>
      <w:r>
        <w:separator/>
      </w:r>
    </w:p>
  </w:endnote>
  <w:endnote w:type="continuationSeparator" w:id="0">
    <w:p w14:paraId="7CF24B87" w14:textId="77777777" w:rsidR="00A40DF2" w:rsidRDefault="00A40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251F" w14:textId="1FBA6841" w:rsidR="00853535" w:rsidRPr="00853535" w:rsidRDefault="00853535" w:rsidP="00853535">
    <w:pPr>
      <w:widowControl w:val="0"/>
      <w:jc w:val="center"/>
      <w:rPr>
        <w:color w:val="595959"/>
        <w:sz w:val="18"/>
        <w:szCs w:val="18"/>
      </w:rPr>
    </w:pPr>
    <w:r w:rsidRPr="00853535">
      <w:rPr>
        <w:color w:val="595959"/>
        <w:sz w:val="18"/>
        <w:szCs w:val="18"/>
      </w:rPr>
      <w:t>Northeast Pharmacy Service Corporation</w:t>
    </w:r>
  </w:p>
  <w:p w14:paraId="558AE024" w14:textId="77777777" w:rsidR="00853535" w:rsidRPr="00853535" w:rsidRDefault="00853535" w:rsidP="00853535">
    <w:pPr>
      <w:widowControl w:val="0"/>
      <w:jc w:val="center"/>
      <w:rPr>
        <w:color w:val="595959"/>
        <w:sz w:val="18"/>
        <w:szCs w:val="18"/>
      </w:rPr>
    </w:pPr>
    <w:r w:rsidRPr="00853535">
      <w:rPr>
        <w:color w:val="595959"/>
        <w:sz w:val="18"/>
        <w:szCs w:val="18"/>
      </w:rPr>
      <w:t>1661 Worcester Road    Suite 405    Framingham, MA 01701-5401</w:t>
    </w:r>
  </w:p>
  <w:p w14:paraId="4BC5A2AA" w14:textId="77777777" w:rsidR="00853535" w:rsidRPr="00853535" w:rsidRDefault="00853535" w:rsidP="00853535">
    <w:pPr>
      <w:widowControl w:val="0"/>
      <w:jc w:val="center"/>
      <w:rPr>
        <w:color w:val="595959"/>
        <w:sz w:val="18"/>
        <w:szCs w:val="18"/>
      </w:rPr>
    </w:pPr>
    <w:r w:rsidRPr="00853535">
      <w:rPr>
        <w:color w:val="595959"/>
        <w:sz w:val="18"/>
        <w:szCs w:val="18"/>
      </w:rPr>
      <w:t>800/532.3742     508/875.1866       F: 508/875.6108</w:t>
    </w:r>
  </w:p>
  <w:p w14:paraId="77FE2893" w14:textId="77777777" w:rsidR="00853535" w:rsidRPr="00853535" w:rsidRDefault="00853535" w:rsidP="00853535">
    <w:pPr>
      <w:widowControl w:val="0"/>
      <w:spacing w:line="163" w:lineRule="auto"/>
      <w:jc w:val="center"/>
      <w:rPr>
        <w:color w:val="595959"/>
        <w:sz w:val="18"/>
        <w:szCs w:val="18"/>
      </w:rPr>
    </w:pPr>
    <w:r w:rsidRPr="00853535">
      <w:rPr>
        <w:color w:val="595959"/>
        <w:sz w:val="18"/>
        <w:szCs w:val="18"/>
      </w:rPr>
      <w:t>www.northeastpharmacy.com</w:t>
    </w:r>
  </w:p>
  <w:p w14:paraId="6C6780EB" w14:textId="77777777" w:rsidR="00853535" w:rsidRDefault="00853535" w:rsidP="00853535">
    <w:pPr>
      <w:widowControl w:val="0"/>
      <w:spacing w:line="163" w:lineRule="auto"/>
      <w:jc w:val="center"/>
      <w:rPr>
        <w:rFonts w:ascii="Calibri" w:hAnsi="Calibri"/>
        <w:color w:val="595959"/>
      </w:rPr>
    </w:pPr>
    <w:r>
      <w:rPr>
        <w:color w:val="595959"/>
      </w:rPr>
      <w:t> </w:t>
    </w:r>
  </w:p>
  <w:p w14:paraId="18BE895D" w14:textId="77777777" w:rsidR="00853535" w:rsidRDefault="0085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DCBF" w14:textId="77777777" w:rsidR="00853535" w:rsidRPr="00853535" w:rsidRDefault="00853535" w:rsidP="00853535">
    <w:pPr>
      <w:widowControl w:val="0"/>
      <w:jc w:val="center"/>
      <w:rPr>
        <w:color w:val="595959"/>
        <w:sz w:val="18"/>
        <w:szCs w:val="18"/>
      </w:rPr>
    </w:pPr>
    <w:r w:rsidRPr="00853535">
      <w:rPr>
        <w:color w:val="595959"/>
        <w:sz w:val="18"/>
        <w:szCs w:val="18"/>
      </w:rPr>
      <w:t>Northeast Pharmacy Service Corporation</w:t>
    </w:r>
  </w:p>
  <w:p w14:paraId="69B57914" w14:textId="77777777" w:rsidR="00853535" w:rsidRPr="00853535" w:rsidRDefault="00853535" w:rsidP="00853535">
    <w:pPr>
      <w:widowControl w:val="0"/>
      <w:jc w:val="center"/>
      <w:rPr>
        <w:color w:val="595959"/>
        <w:sz w:val="18"/>
        <w:szCs w:val="18"/>
      </w:rPr>
    </w:pPr>
    <w:r w:rsidRPr="00853535">
      <w:rPr>
        <w:color w:val="595959"/>
        <w:sz w:val="18"/>
        <w:szCs w:val="18"/>
      </w:rPr>
      <w:t>1661 Worcester Road    Suite 405    Framingham, MA 01701-5401</w:t>
    </w:r>
  </w:p>
  <w:p w14:paraId="71F2F178" w14:textId="77777777" w:rsidR="00853535" w:rsidRPr="00853535" w:rsidRDefault="00853535" w:rsidP="00853535">
    <w:pPr>
      <w:widowControl w:val="0"/>
      <w:jc w:val="center"/>
      <w:rPr>
        <w:color w:val="595959"/>
        <w:sz w:val="18"/>
        <w:szCs w:val="18"/>
      </w:rPr>
    </w:pPr>
    <w:r w:rsidRPr="00853535">
      <w:rPr>
        <w:color w:val="595959"/>
        <w:sz w:val="18"/>
        <w:szCs w:val="18"/>
      </w:rPr>
      <w:t>800/532.3742     508/875.1866       F: 508/875.6108</w:t>
    </w:r>
  </w:p>
  <w:p w14:paraId="10267671" w14:textId="77777777" w:rsidR="00853535" w:rsidRPr="00853535" w:rsidRDefault="00853535" w:rsidP="00853535">
    <w:pPr>
      <w:widowControl w:val="0"/>
      <w:spacing w:line="163" w:lineRule="auto"/>
      <w:jc w:val="center"/>
      <w:rPr>
        <w:color w:val="595959"/>
        <w:sz w:val="18"/>
        <w:szCs w:val="18"/>
      </w:rPr>
    </w:pPr>
    <w:r w:rsidRPr="00853535">
      <w:rPr>
        <w:color w:val="595959"/>
        <w:sz w:val="18"/>
        <w:szCs w:val="18"/>
      </w:rPr>
      <w:t>www.northeastpharmacy.com</w:t>
    </w:r>
  </w:p>
  <w:p w14:paraId="2E9A8B9E" w14:textId="77777777" w:rsidR="00853535" w:rsidRDefault="00853535" w:rsidP="00853535">
    <w:pPr>
      <w:widowControl w:val="0"/>
      <w:spacing w:line="163" w:lineRule="auto"/>
      <w:jc w:val="center"/>
      <w:rPr>
        <w:rFonts w:ascii="Calibri" w:hAnsi="Calibri"/>
        <w:color w:val="595959"/>
      </w:rPr>
    </w:pPr>
    <w:r>
      <w:rPr>
        <w:color w:val="595959"/>
      </w:rPr>
      <w:t> </w:t>
    </w:r>
  </w:p>
  <w:p w14:paraId="642B0D29" w14:textId="77777777" w:rsidR="00853535" w:rsidRDefault="0085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0209" w14:textId="77777777" w:rsidR="00A40DF2" w:rsidRDefault="00A40DF2">
      <w:pPr>
        <w:spacing w:line="240" w:lineRule="auto"/>
      </w:pPr>
      <w:r>
        <w:separator/>
      </w:r>
    </w:p>
  </w:footnote>
  <w:footnote w:type="continuationSeparator" w:id="0">
    <w:p w14:paraId="17721EDC" w14:textId="77777777" w:rsidR="00A40DF2" w:rsidRDefault="00A40DF2">
      <w:pPr>
        <w:spacing w:line="240" w:lineRule="auto"/>
      </w:pPr>
      <w:r>
        <w:continuationSeparator/>
      </w:r>
    </w:p>
  </w:footnote>
  <w:footnote w:id="1">
    <w:p w14:paraId="6B1FB8F7" w14:textId="77777777" w:rsidR="003E624D" w:rsidRDefault="00853535">
      <w:pPr>
        <w:spacing w:line="240" w:lineRule="auto"/>
        <w:rPr>
          <w:sz w:val="20"/>
          <w:szCs w:val="20"/>
        </w:rPr>
      </w:pPr>
      <w:r>
        <w:rPr>
          <w:vertAlign w:val="superscript"/>
        </w:rPr>
        <w:footnoteRef/>
      </w:r>
      <w:r>
        <w:rPr>
          <w:sz w:val="20"/>
          <w:szCs w:val="20"/>
        </w:rPr>
        <w:t xml:space="preserve"> National Association of Insurance Commissioners (NAIC); Center for Insurance and Policy Research, </w:t>
      </w:r>
      <w:r>
        <w:rPr>
          <w:i/>
          <w:sz w:val="20"/>
          <w:szCs w:val="20"/>
        </w:rPr>
        <w:t>Pharmacy Benefit Managers</w:t>
      </w:r>
      <w:r>
        <w:rPr>
          <w:sz w:val="20"/>
          <w:szCs w:val="20"/>
        </w:rPr>
        <w:t xml:space="preserve">, June 1, 2023  </w:t>
      </w:r>
      <w:hyperlink r:id="rId1">
        <w:r>
          <w:rPr>
            <w:color w:val="1155CC"/>
            <w:sz w:val="20"/>
            <w:szCs w:val="20"/>
            <w:u w:val="single"/>
          </w:rPr>
          <w:t>https://content.naic.org/cipr-topics/pharmacy-benefit-managers</w:t>
        </w:r>
      </w:hyperlink>
    </w:p>
  </w:footnote>
  <w:footnote w:id="2">
    <w:p w14:paraId="3B07B951" w14:textId="77777777" w:rsidR="003E624D" w:rsidRDefault="00853535">
      <w:pPr>
        <w:spacing w:line="240" w:lineRule="auto"/>
        <w:rPr>
          <w:sz w:val="20"/>
          <w:szCs w:val="20"/>
        </w:rPr>
      </w:pPr>
      <w:r>
        <w:rPr>
          <w:vertAlign w:val="superscript"/>
        </w:rPr>
        <w:footnoteRef/>
      </w:r>
      <w:r>
        <w:rPr>
          <w:sz w:val="20"/>
          <w:szCs w:val="20"/>
        </w:rPr>
        <w:t xml:space="preserve"> National Academy for State Health Policy; </w:t>
      </w:r>
      <w:r>
        <w:rPr>
          <w:i/>
          <w:sz w:val="20"/>
          <w:szCs w:val="20"/>
        </w:rPr>
        <w:t>State Pharmacy Benefit Manager Legislation</w:t>
      </w:r>
      <w:r>
        <w:rPr>
          <w:sz w:val="20"/>
          <w:szCs w:val="20"/>
        </w:rPr>
        <w:t xml:space="preserve">, </w:t>
      </w:r>
      <w:hyperlink r:id="rId2" w:anchor=":~:text=As%20Congress%20advances%20pharmacy%20benefit,state%20PBM%20legislation%20through%202022.">
        <w:r>
          <w:rPr>
            <w:color w:val="1155CC"/>
            <w:sz w:val="20"/>
            <w:szCs w:val="20"/>
            <w:u w:val="single"/>
          </w:rPr>
          <w:t>https://nashp.org/state-pharmacy-benefit-manager-legislation/#:~:text=As%20Congress%20advances%20pharmacy%20benefit,state%20PBM%20legislation%20through%202022.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068" w14:textId="12507538" w:rsidR="00853535" w:rsidRDefault="007826D6" w:rsidP="00853535">
    <w:pPr>
      <w:pStyle w:val="Header"/>
      <w:jc w:val="center"/>
    </w:pPr>
    <w:r>
      <w:rPr>
        <w:noProof/>
      </w:rPr>
      <w:drawing>
        <wp:inline distT="0" distB="0" distL="0" distR="0" wp14:anchorId="33ADB31F" wp14:editId="29BD7492">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2344" w14:textId="112FD3E0" w:rsidR="00853535" w:rsidRDefault="00853535" w:rsidP="00853535">
    <w:pPr>
      <w:pStyle w:val="Header"/>
      <w:jc w:val="center"/>
    </w:pPr>
    <w:r>
      <w:rPr>
        <w:noProof/>
      </w:rPr>
      <w:drawing>
        <wp:inline distT="0" distB="0" distL="0" distR="0" wp14:anchorId="72DFF37E" wp14:editId="148D0EAE">
          <wp:extent cx="1531620" cy="832245"/>
          <wp:effectExtent l="0" t="0" r="0" b="6350"/>
          <wp:docPr id="1762297530" name="Picture 176229753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4D"/>
    <w:rsid w:val="002B7299"/>
    <w:rsid w:val="003836FA"/>
    <w:rsid w:val="003E624D"/>
    <w:rsid w:val="005728D6"/>
    <w:rsid w:val="00627A41"/>
    <w:rsid w:val="007826D6"/>
    <w:rsid w:val="00853535"/>
    <w:rsid w:val="009829A1"/>
    <w:rsid w:val="00A40DF2"/>
    <w:rsid w:val="00C55CE3"/>
    <w:rsid w:val="00CC63F3"/>
    <w:rsid w:val="00F63866"/>
    <w:rsid w:val="00FA6B35"/>
    <w:rsid w:val="00FB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EB7C"/>
  <w15:docId w15:val="{FBD1B928-E2CA-4C0F-B9E7-D381A30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3535"/>
    <w:pPr>
      <w:tabs>
        <w:tab w:val="center" w:pos="4680"/>
        <w:tab w:val="right" w:pos="9360"/>
      </w:tabs>
      <w:spacing w:line="240" w:lineRule="auto"/>
    </w:pPr>
  </w:style>
  <w:style w:type="character" w:customStyle="1" w:styleId="HeaderChar">
    <w:name w:val="Header Char"/>
    <w:basedOn w:val="DefaultParagraphFont"/>
    <w:link w:val="Header"/>
    <w:uiPriority w:val="99"/>
    <w:rsid w:val="00853535"/>
  </w:style>
  <w:style w:type="paragraph" w:styleId="Footer">
    <w:name w:val="footer"/>
    <w:basedOn w:val="Normal"/>
    <w:link w:val="FooterChar"/>
    <w:uiPriority w:val="99"/>
    <w:unhideWhenUsed/>
    <w:rsid w:val="00853535"/>
    <w:pPr>
      <w:tabs>
        <w:tab w:val="center" w:pos="4680"/>
        <w:tab w:val="right" w:pos="9360"/>
      </w:tabs>
      <w:spacing w:line="240" w:lineRule="auto"/>
    </w:pPr>
  </w:style>
  <w:style w:type="character" w:customStyle="1" w:styleId="FooterChar">
    <w:name w:val="Footer Char"/>
    <w:basedOn w:val="DefaultParagraphFont"/>
    <w:link w:val="Footer"/>
    <w:uiPriority w:val="99"/>
    <w:rsid w:val="0085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cmanet.org/value-of-pbms/" TargetMode="Externa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ntent.naic.org/sites/default/files/inline-files/NCPA%208-29-19.pdf" TargetMode="External"/><Relationship Id="rId12" Type="http://schemas.openxmlformats.org/officeDocument/2006/relationships/hyperlink" Target="https://www.gao.gov/assets/710/700259.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graham@ftc.gov" TargetMode="External"/><Relationship Id="rId11" Type="http://schemas.openxmlformats.org/officeDocument/2006/relationships/hyperlink" Target="https://www.congress.gov/bill/115th-congress/senate-bill/2553/text" TargetMode="External"/><Relationship Id="rId5" Type="http://schemas.openxmlformats.org/officeDocument/2006/relationships/endnotes" Target="endnotes.xml"/><Relationship Id="rId15" Type="http://schemas.openxmlformats.org/officeDocument/2006/relationships/image" Target="media/image3.jpg"/><Relationship Id="rId10" Type="http://schemas.openxmlformats.org/officeDocument/2006/relationships/hyperlink" Target="https://www.congress.gov/bill/115th-congress/senate-bill/2554/tex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ontent.naic.org/cipr_topics/topic_health_insurance.htm"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nashp.org/state-pharmacy-benefit-manager-legislation/" TargetMode="External"/><Relationship Id="rId1" Type="http://schemas.openxmlformats.org/officeDocument/2006/relationships/hyperlink" Target="https://content.naic.org/cipr-topics/pharmacy-benefit-mana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Monaco</dc:creator>
  <cp:lastModifiedBy>Susan Kurina</cp:lastModifiedBy>
  <cp:revision>2</cp:revision>
  <dcterms:created xsi:type="dcterms:W3CDTF">2023-09-14T16:51:00Z</dcterms:created>
  <dcterms:modified xsi:type="dcterms:W3CDTF">2023-09-14T16:51:00Z</dcterms:modified>
</cp:coreProperties>
</file>