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8F9F" w14:textId="77777777" w:rsidR="00433468" w:rsidRDefault="00433468" w:rsidP="00BA10F8">
      <w:pPr>
        <w:rPr>
          <w:rFonts w:ascii="Georgia" w:hAnsi="Georgia" w:cs="Arial"/>
        </w:rPr>
      </w:pPr>
    </w:p>
    <w:p w14:paraId="711594A1" w14:textId="72F41911" w:rsidR="00BA10F8" w:rsidRPr="00433468" w:rsidRDefault="00433468" w:rsidP="00BA10F8">
      <w:pPr>
        <w:rPr>
          <w:rFonts w:ascii="Georgia" w:hAnsi="Georgia" w:cs="Arial"/>
          <w:sz w:val="28"/>
          <w:szCs w:val="28"/>
        </w:rPr>
      </w:pPr>
      <w:r w:rsidRPr="00433468">
        <w:rPr>
          <w:rFonts w:ascii="Georgia" w:hAnsi="Georgia" w:cs="Arial"/>
          <w:sz w:val="28"/>
          <w:szCs w:val="28"/>
        </w:rPr>
        <w:t>March 20, 2024</w:t>
      </w:r>
    </w:p>
    <w:p w14:paraId="01DB86D0" w14:textId="77777777" w:rsidR="00BA10F8" w:rsidRPr="00433468" w:rsidRDefault="00BA10F8" w:rsidP="00BA10F8">
      <w:pPr>
        <w:rPr>
          <w:rFonts w:ascii="Georgia" w:hAnsi="Georgia" w:cs="Calibri"/>
          <w:sz w:val="28"/>
          <w:szCs w:val="28"/>
        </w:rPr>
      </w:pPr>
    </w:p>
    <w:p w14:paraId="18D786BD" w14:textId="13B9F03D" w:rsidR="00BA10F8" w:rsidRPr="00433468" w:rsidRDefault="00BA10F8" w:rsidP="00BA10F8">
      <w:pPr>
        <w:jc w:val="center"/>
        <w:rPr>
          <w:rFonts w:ascii="Georgia" w:hAnsi="Georgia" w:cs="Calibri"/>
          <w:b/>
          <w:bCs/>
          <w:sz w:val="32"/>
          <w:szCs w:val="32"/>
        </w:rPr>
      </w:pPr>
      <w:r w:rsidRPr="00433468">
        <w:rPr>
          <w:rFonts w:ascii="Georgia" w:hAnsi="Georgia" w:cs="Calibri"/>
          <w:b/>
          <w:bCs/>
          <w:sz w:val="32"/>
          <w:szCs w:val="32"/>
        </w:rPr>
        <w:t>New Proposed FDA Compounding Rule</w:t>
      </w:r>
    </w:p>
    <w:p w14:paraId="2831AC32" w14:textId="77777777" w:rsidR="00BA10F8" w:rsidRPr="00433468" w:rsidRDefault="00BA10F8" w:rsidP="00BA10F8">
      <w:pPr>
        <w:jc w:val="center"/>
        <w:rPr>
          <w:rFonts w:ascii="Georgia" w:hAnsi="Georgia" w:cs="Calibri"/>
          <w:sz w:val="28"/>
          <w:szCs w:val="28"/>
        </w:rPr>
      </w:pPr>
    </w:p>
    <w:p w14:paraId="632DF909" w14:textId="1F58AEAB" w:rsidR="00BA10F8" w:rsidRPr="00433468" w:rsidRDefault="00BA10F8" w:rsidP="00BA10F8">
      <w:pPr>
        <w:rPr>
          <w:rFonts w:ascii="Georgia" w:hAnsi="Georgia" w:cs="Calibri"/>
          <w:sz w:val="28"/>
          <w:szCs w:val="28"/>
        </w:rPr>
      </w:pPr>
      <w:r w:rsidRPr="00433468">
        <w:rPr>
          <w:rFonts w:ascii="Georgia" w:hAnsi="Georgia" w:cs="Calibri"/>
          <w:sz w:val="28"/>
          <w:szCs w:val="28"/>
        </w:rPr>
        <w:t>With everything we have been discussing lately on compounding, the FDA has just released a new proposed rule seen </w:t>
      </w:r>
      <w:hyperlink r:id="rId6" w:history="1">
        <w:r w:rsidRPr="00433468">
          <w:rPr>
            <w:rStyle w:val="Hyperlink"/>
            <w:rFonts w:ascii="Georgia" w:hAnsi="Georgia" w:cs="Calibri"/>
            <w:sz w:val="28"/>
            <w:szCs w:val="28"/>
          </w:rPr>
          <w:t>here</w:t>
        </w:r>
      </w:hyperlink>
      <w:r w:rsidRPr="00433468">
        <w:rPr>
          <w:rFonts w:ascii="Georgia" w:hAnsi="Georgia" w:cs="Calibri"/>
          <w:sz w:val="28"/>
          <w:szCs w:val="28"/>
        </w:rPr>
        <w:t>. </w:t>
      </w:r>
    </w:p>
    <w:p w14:paraId="75B7C208" w14:textId="77777777" w:rsidR="00BA10F8" w:rsidRPr="00433468" w:rsidRDefault="00BA10F8" w:rsidP="00BA10F8">
      <w:pPr>
        <w:rPr>
          <w:rFonts w:ascii="Georgia" w:hAnsi="Georgia" w:cs="Calibri"/>
          <w:sz w:val="28"/>
          <w:szCs w:val="28"/>
        </w:rPr>
      </w:pPr>
    </w:p>
    <w:p w14:paraId="259B9F19" w14:textId="77777777" w:rsidR="00BA10F8" w:rsidRPr="00433468" w:rsidRDefault="00BA10F8" w:rsidP="00BA10F8">
      <w:pPr>
        <w:pStyle w:val="NormalWeb"/>
        <w:spacing w:before="0" w:beforeAutospacing="0" w:after="0" w:afterAutospacing="0"/>
        <w:rPr>
          <w:rFonts w:ascii="Georgia" w:hAnsi="Georgia" w:cs="Calibri"/>
          <w:color w:val="000000"/>
          <w:sz w:val="28"/>
          <w:szCs w:val="28"/>
        </w:rPr>
      </w:pPr>
      <w:r w:rsidRPr="00433468">
        <w:rPr>
          <w:rFonts w:ascii="Georgia" w:hAnsi="Georgia" w:cs="Calibri"/>
          <w:color w:val="000000"/>
          <w:sz w:val="28"/>
          <w:szCs w:val="28"/>
        </w:rPr>
        <w:t>The proposal would create new lists of drugs that cannot be legally compounded and allow a process in which stakeholders can submit products they believe should be on the lists for agency consideration. The proposal seeks to establish criteria for the lists of drug products or categories of drug products that appear on the “Demonstrable Difficulties for Compounding” (DDC) lists of drugs that do not quality for certain statutory exemptions under the Food, Drug &amp; Cosmetic (FD&amp;C) Act and therefore cannot be compounded at pharmacies. A comment period will be open for 90 days.</w:t>
      </w:r>
    </w:p>
    <w:p w14:paraId="5C3391C9" w14:textId="77777777" w:rsidR="00BA10F8" w:rsidRPr="00433468" w:rsidRDefault="00BA10F8" w:rsidP="00BA10F8">
      <w:pPr>
        <w:pStyle w:val="NormalWeb"/>
        <w:spacing w:before="0" w:beforeAutospacing="0" w:after="0" w:afterAutospacing="0"/>
        <w:rPr>
          <w:rFonts w:ascii="Georgia" w:hAnsi="Georgia" w:cs="Calibri"/>
          <w:color w:val="000000"/>
          <w:sz w:val="28"/>
          <w:szCs w:val="28"/>
        </w:rPr>
      </w:pPr>
    </w:p>
    <w:p w14:paraId="5E335507" w14:textId="77777777" w:rsidR="00BA10F8" w:rsidRPr="00433468" w:rsidRDefault="00BA10F8" w:rsidP="00BA10F8">
      <w:pPr>
        <w:pStyle w:val="NormalWeb"/>
        <w:spacing w:before="0" w:beforeAutospacing="0" w:after="0" w:afterAutospacing="0"/>
        <w:rPr>
          <w:rFonts w:ascii="Georgia" w:hAnsi="Georgia" w:cs="Calibri"/>
          <w:color w:val="000000"/>
          <w:sz w:val="28"/>
          <w:szCs w:val="28"/>
        </w:rPr>
      </w:pPr>
      <w:r w:rsidRPr="00433468">
        <w:rPr>
          <w:rStyle w:val="Strong"/>
          <w:rFonts w:ascii="Georgia" w:hAnsi="Georgia" w:cs="Calibri"/>
          <w:color w:val="000000"/>
          <w:sz w:val="28"/>
          <w:szCs w:val="28"/>
          <w:bdr w:val="none" w:sz="0" w:space="0" w:color="auto" w:frame="1"/>
        </w:rPr>
        <w:t>The proposal would also initially add three categories of drug to the lists:</w:t>
      </w:r>
      <w:r w:rsidRPr="00433468">
        <w:rPr>
          <w:rStyle w:val="gmail-apple-converted-space"/>
          <w:rFonts w:ascii="Georgia" w:hAnsi="Georgia" w:cs="Calibri"/>
          <w:b/>
          <w:bCs/>
          <w:color w:val="000000"/>
          <w:sz w:val="28"/>
          <w:szCs w:val="28"/>
          <w:bdr w:val="none" w:sz="0" w:space="0" w:color="auto" w:frame="1"/>
        </w:rPr>
        <w:t> </w:t>
      </w:r>
      <w:r w:rsidRPr="00433468">
        <w:rPr>
          <w:rFonts w:ascii="Georgia" w:hAnsi="Georgia" w:cs="Calibri"/>
          <w:color w:val="000000"/>
          <w:sz w:val="28"/>
          <w:szCs w:val="28"/>
        </w:rPr>
        <w:t>oral solid modified-release drug products that employ coated systems, liposome drug products and drug products produced using hot melt extrusion.</w:t>
      </w:r>
    </w:p>
    <w:p w14:paraId="7BD047EB" w14:textId="77777777" w:rsidR="00BA10F8" w:rsidRPr="00433468" w:rsidRDefault="00BA10F8" w:rsidP="00BA10F8">
      <w:pPr>
        <w:pStyle w:val="NormalWeb"/>
        <w:spacing w:before="0" w:beforeAutospacing="0" w:after="0" w:afterAutospacing="0"/>
        <w:rPr>
          <w:rFonts w:ascii="Georgia" w:hAnsi="Georgia" w:cs="Calibri"/>
          <w:color w:val="000000"/>
          <w:sz w:val="28"/>
          <w:szCs w:val="28"/>
        </w:rPr>
      </w:pPr>
    </w:p>
    <w:p w14:paraId="7251CA4D" w14:textId="77777777" w:rsidR="00BA10F8" w:rsidRPr="00433468" w:rsidRDefault="00BA10F8" w:rsidP="00BA10F8">
      <w:pPr>
        <w:pStyle w:val="NormalWeb"/>
        <w:spacing w:before="0" w:beforeAutospacing="0" w:after="0" w:afterAutospacing="0"/>
        <w:rPr>
          <w:rFonts w:ascii="Georgia" w:hAnsi="Georgia" w:cs="Calibri"/>
          <w:color w:val="000000"/>
          <w:sz w:val="28"/>
          <w:szCs w:val="28"/>
        </w:rPr>
      </w:pPr>
      <w:r w:rsidRPr="00433468">
        <w:rPr>
          <w:rFonts w:ascii="Georgia" w:hAnsi="Georgia" w:cs="Calibri"/>
          <w:color w:val="000000"/>
          <w:sz w:val="28"/>
          <w:szCs w:val="28"/>
        </w:rPr>
        <w:t>The rule would create two lists based on different sections of the FD&amp;C Act. Section 503A concerns drugs that can be compounded by a licensed pharmacist in a state-licensed pharmacy or federal facility, or by a licensed physician, and creates exemptions from some regulations on current good manufacturing, labeling and drug approvals. Section 503B concerns drugs compounded in an outsourcing facility under supervision of a pharmacist and creates exemptions from regulations on approvals, labeling and drug supply chain security requirements. </w:t>
      </w:r>
    </w:p>
    <w:p w14:paraId="336E9B7B" w14:textId="77777777" w:rsidR="006A57B1" w:rsidRDefault="006A57B1" w:rsidP="006A57B1">
      <w:pPr>
        <w:spacing w:after="160" w:line="259" w:lineRule="auto"/>
        <w:rPr>
          <w:rFonts w:ascii="Calibri" w:eastAsia="Calibri" w:hAnsi="Calibri"/>
          <w:kern w:val="2"/>
          <w14:ligatures w14:val="standardContextual"/>
        </w:rPr>
      </w:pPr>
    </w:p>
    <w:sectPr w:rsidR="006A57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B354" w14:textId="77777777" w:rsidR="00494EC9" w:rsidRDefault="00494EC9" w:rsidP="00494EC9">
      <w:r>
        <w:separator/>
      </w:r>
    </w:p>
  </w:endnote>
  <w:endnote w:type="continuationSeparator" w:id="0">
    <w:p w14:paraId="2C0C6C5F" w14:textId="77777777" w:rsidR="00494EC9" w:rsidRDefault="00494EC9" w:rsidP="004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D38F" w14:textId="77777777" w:rsidR="00494EC9" w:rsidRDefault="00494EC9">
    <w:pPr>
      <w:pStyle w:val="Foot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EFA409A" wp14:editId="018D0CD2">
              <wp:simplePos x="0" y="0"/>
              <wp:positionH relativeFrom="column">
                <wp:posOffset>-275590</wp:posOffset>
              </wp:positionH>
              <wp:positionV relativeFrom="paragraph">
                <wp:posOffset>-193675</wp:posOffset>
              </wp:positionV>
              <wp:extent cx="6828790" cy="808990"/>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808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A409A" id="_x0000_t202" coordsize="21600,21600" o:spt="202" path="m,l,21600r21600,l21600,xe">
              <v:stroke joinstyle="miter"/>
              <v:path gradientshapeok="t" o:connecttype="rect"/>
            </v:shapetype>
            <v:shape id="Text Box 5" o:spid="_x0000_s1026" type="#_x0000_t202" style="position:absolute;margin-left:-21.7pt;margin-top:-15.25pt;width:537.7pt;height:6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" filled="f" stroked="f" strokecolor="black [0]" insetpen="t">
              <v:textbox inset="2.88pt,2.88pt,2.88pt,2.88pt">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v:textbox>
            </v:shape>
          </w:pict>
        </mc:Fallback>
      </mc:AlternateContent>
    </w:r>
  </w:p>
  <w:p w14:paraId="1031F7EF" w14:textId="77777777" w:rsidR="00494EC9" w:rsidRDefault="004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11C8" w14:textId="77777777" w:rsidR="00494EC9" w:rsidRDefault="00494EC9" w:rsidP="00494EC9">
      <w:r>
        <w:separator/>
      </w:r>
    </w:p>
  </w:footnote>
  <w:footnote w:type="continuationSeparator" w:id="0">
    <w:p w14:paraId="4EB2216C" w14:textId="77777777" w:rsidR="00494EC9" w:rsidRDefault="00494EC9" w:rsidP="0049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DA6" w14:textId="738ADA65" w:rsidR="00494EC9" w:rsidRDefault="00494EC9">
    <w:pPr>
      <w:pStyle w:val="Header"/>
    </w:pPr>
    <w:r>
      <w:ptab w:relativeTo="margin" w:alignment="center" w:leader="none"/>
    </w:r>
    <w:r w:rsidR="00D17BE0">
      <w:rPr>
        <w:noProof/>
      </w:rPr>
      <w:drawing>
        <wp:inline distT="0" distB="0" distL="0" distR="0" wp14:anchorId="1EB1CD3B" wp14:editId="4E30B945">
          <wp:extent cx="1531620" cy="832245"/>
          <wp:effectExtent l="0" t="0" r="0" b="6350"/>
          <wp:docPr id="12288979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949"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44" cy="849863"/>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C9"/>
    <w:rsid w:val="000573F2"/>
    <w:rsid w:val="002A1FF8"/>
    <w:rsid w:val="004328AC"/>
    <w:rsid w:val="00433468"/>
    <w:rsid w:val="00470C71"/>
    <w:rsid w:val="00494EC9"/>
    <w:rsid w:val="005019EE"/>
    <w:rsid w:val="006A57B1"/>
    <w:rsid w:val="007207FA"/>
    <w:rsid w:val="008022DC"/>
    <w:rsid w:val="00936A94"/>
    <w:rsid w:val="00A86696"/>
    <w:rsid w:val="00AE05E2"/>
    <w:rsid w:val="00BA10F8"/>
    <w:rsid w:val="00BC6186"/>
    <w:rsid w:val="00BD4D78"/>
    <w:rsid w:val="00BF1357"/>
    <w:rsid w:val="00CC523F"/>
    <w:rsid w:val="00D17BE0"/>
    <w:rsid w:val="00FB2D1E"/>
    <w:rsid w:val="00F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998CC4"/>
  <w15:docId w15:val="{CDC55872-C799-4404-9F21-2F98F24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EC9"/>
  </w:style>
  <w:style w:type="paragraph" w:styleId="Footer">
    <w:name w:val="footer"/>
    <w:basedOn w:val="Normal"/>
    <w:link w:val="Foot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EC9"/>
  </w:style>
  <w:style w:type="paragraph" w:styleId="BalloonText">
    <w:name w:val="Balloon Text"/>
    <w:basedOn w:val="Normal"/>
    <w:link w:val="BalloonTextChar"/>
    <w:uiPriority w:val="99"/>
    <w:semiHidden/>
    <w:unhideWhenUsed/>
    <w:rsid w:val="00494EC9"/>
    <w:rPr>
      <w:rFonts w:ascii="Tahoma" w:hAnsi="Tahoma" w:cs="Tahoma"/>
      <w:sz w:val="16"/>
      <w:szCs w:val="16"/>
    </w:rPr>
  </w:style>
  <w:style w:type="character" w:customStyle="1" w:styleId="BalloonTextChar">
    <w:name w:val="Balloon Text Char"/>
    <w:basedOn w:val="DefaultParagraphFont"/>
    <w:link w:val="BalloonText"/>
    <w:uiPriority w:val="99"/>
    <w:semiHidden/>
    <w:rsid w:val="00494EC9"/>
    <w:rPr>
      <w:rFonts w:ascii="Tahoma" w:hAnsi="Tahoma" w:cs="Tahoma"/>
      <w:sz w:val="16"/>
      <w:szCs w:val="16"/>
    </w:rPr>
  </w:style>
  <w:style w:type="table" w:styleId="TableGrid">
    <w:name w:val="Table Grid"/>
    <w:basedOn w:val="TableNormal"/>
    <w:uiPriority w:val="39"/>
    <w:rsid w:val="00BD4D78"/>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07FA"/>
    <w:rPr>
      <w:color w:val="0000FF"/>
      <w:u w:val="single"/>
    </w:rPr>
  </w:style>
  <w:style w:type="paragraph" w:styleId="NormalWeb">
    <w:name w:val="Normal (Web)"/>
    <w:basedOn w:val="Normal"/>
    <w:uiPriority w:val="99"/>
    <w:semiHidden/>
    <w:unhideWhenUsed/>
    <w:rsid w:val="00BA10F8"/>
    <w:pPr>
      <w:spacing w:before="100" w:beforeAutospacing="1" w:after="100" w:afterAutospacing="1"/>
    </w:pPr>
    <w:rPr>
      <w:rFonts w:ascii="Aptos" w:eastAsiaTheme="minorHAnsi" w:hAnsi="Aptos" w:cs="Aptos"/>
    </w:rPr>
  </w:style>
  <w:style w:type="character" w:customStyle="1" w:styleId="gmail-apple-converted-space">
    <w:name w:val="gmail-apple-converted-space"/>
    <w:basedOn w:val="DefaultParagraphFont"/>
    <w:rsid w:val="00BA10F8"/>
  </w:style>
  <w:style w:type="character" w:styleId="Strong">
    <w:name w:val="Strong"/>
    <w:basedOn w:val="DefaultParagraphFont"/>
    <w:uiPriority w:val="22"/>
    <w:qFormat/>
    <w:rsid w:val="00BA10F8"/>
    <w:rPr>
      <w:b/>
      <w:bCs/>
    </w:rPr>
  </w:style>
  <w:style w:type="character" w:styleId="FollowedHyperlink">
    <w:name w:val="FollowedHyperlink"/>
    <w:basedOn w:val="DefaultParagraphFont"/>
    <w:uiPriority w:val="99"/>
    <w:semiHidden/>
    <w:unhideWhenUsed/>
    <w:rsid w:val="00BA1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eralregister.gov/documents/2024/03/20/2024-05801/drug-products-or-categories-of-drug-products-that-present-demonstrable-difficulties-for-compound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Kacian McCoy</dc:creator>
  <cp:lastModifiedBy>Susan Kurina</cp:lastModifiedBy>
  <cp:revision>3</cp:revision>
  <cp:lastPrinted>2023-10-30T14:32:00Z</cp:lastPrinted>
  <dcterms:created xsi:type="dcterms:W3CDTF">2024-03-21T11:24:00Z</dcterms:created>
  <dcterms:modified xsi:type="dcterms:W3CDTF">2024-03-21T11:27:00Z</dcterms:modified>
</cp:coreProperties>
</file>