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554702D4" w:rsidR="00CB7E8D" w:rsidRDefault="00CB7E8D" w:rsidP="00CB7E8D">
      <w:pPr>
        <w:pStyle w:val="ListParagraph"/>
        <w:numPr>
          <w:ilvl w:val="1"/>
          <w:numId w:val="1"/>
        </w:numPr>
      </w:pPr>
      <w:r>
        <w:t xml:space="preserve">The purpose of this SOP is to establish minimum safety standards and requirements for </w:t>
      </w:r>
      <w:r w:rsidR="00E33C82">
        <w:t>storage</w:t>
      </w:r>
      <w:r w:rsidRPr="0084076E">
        <w:rPr>
          <w:color w:val="FF0000"/>
        </w:rPr>
        <w:t xml:space="preserve"> </w:t>
      </w:r>
      <w:r>
        <w:t>of Hazardous Drugs (HD)</w:t>
      </w:r>
      <w:r w:rsidR="00CB7A7B">
        <w:t xml:space="preserve"> used in non-sterile compounding</w:t>
      </w:r>
    </w:p>
    <w:p w14:paraId="3C913225" w14:textId="77777777" w:rsidR="00904167" w:rsidRDefault="00904167" w:rsidP="00904167">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21301697"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this procedure meets local, state, and federal regulations as required </w:t>
      </w:r>
    </w:p>
    <w:p w14:paraId="1B69A9F6" w14:textId="293D8804"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all staff that receive HD are trained on and </w:t>
      </w:r>
      <w:r w:rsidR="00372E75">
        <w:t>adhere to</w:t>
      </w:r>
      <w:r>
        <w:t xml:space="preserve"> this SOP</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116CC34A" w:rsidR="00CB7E8D" w:rsidRDefault="00CB7E8D" w:rsidP="00CB7E8D">
      <w:pPr>
        <w:pStyle w:val="ListParagraph"/>
        <w:numPr>
          <w:ilvl w:val="1"/>
          <w:numId w:val="1"/>
        </w:numPr>
      </w:pPr>
      <w:r>
        <w:t>This SOP applies to all personnel who</w:t>
      </w:r>
      <w:r w:rsidR="00E33C82">
        <w:rPr>
          <w:color w:val="FF0000"/>
        </w:rPr>
        <w:t xml:space="preserve"> </w:t>
      </w:r>
      <w:r w:rsidR="00E33C82" w:rsidRPr="00E33C82">
        <w:t>access</w:t>
      </w:r>
      <w:r w:rsidRPr="00E33C82">
        <w:t xml:space="preserve"> </w:t>
      </w:r>
      <w:r w:rsidR="00CB7A7B">
        <w:t xml:space="preserve">non-sterile compounding </w:t>
      </w:r>
      <w:r>
        <w:t>HD</w:t>
      </w:r>
      <w:r w:rsidR="00E33C82">
        <w:t xml:space="preserve"> storage areas</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Hazardous Drugs – Handling in Healthcare Settings,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278BEF93" w14:textId="6BEF92BD"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78F535EA" w:rsidR="006C1264" w:rsidRDefault="006C1264" w:rsidP="00CB7E8D">
      <w:pPr>
        <w:pStyle w:val="ListParagraph"/>
        <w:numPr>
          <w:ilvl w:val="1"/>
          <w:numId w:val="1"/>
        </w:numPr>
      </w:pPr>
      <w:r>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72224013" w14:textId="59E9EF0A" w:rsidR="00F66500" w:rsidRDefault="00F66500" w:rsidP="00CB7E8D">
      <w:pPr>
        <w:pStyle w:val="ListParagraph"/>
        <w:numPr>
          <w:ilvl w:val="1"/>
          <w:numId w:val="1"/>
        </w:numPr>
      </w:pPr>
      <w:r>
        <w:t xml:space="preserve">ACPH </w:t>
      </w:r>
      <w:r w:rsidR="00CB7A7B">
        <w:t>–</w:t>
      </w:r>
      <w:r>
        <w:t xml:space="preserve"> </w:t>
      </w:r>
      <w:r w:rsidR="00CB7A7B">
        <w:t xml:space="preserve">air changes per hour – frequency at which air volume in a designated space or room is cycled per hour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3C310F8D" w:rsidR="006C1264" w:rsidRPr="00904167" w:rsidRDefault="006C1264" w:rsidP="006C1264">
      <w:pPr>
        <w:pStyle w:val="ListParagraph"/>
        <w:numPr>
          <w:ilvl w:val="1"/>
          <w:numId w:val="1"/>
        </w:numPr>
      </w:pPr>
      <w:r>
        <w:t xml:space="preserve">This procedure must be followed </w:t>
      </w:r>
      <w:r w:rsidR="00E33C82">
        <w:t xml:space="preserve">for all HD stored at </w:t>
      </w:r>
      <w:r w:rsidR="00E33C82" w:rsidRPr="00E33C82">
        <w:rPr>
          <w:color w:val="FF0000"/>
        </w:rPr>
        <w:t>[</w:t>
      </w:r>
      <w:r w:rsidR="00E33C82">
        <w:rPr>
          <w:color w:val="FF0000"/>
        </w:rPr>
        <w:t>company]</w:t>
      </w:r>
    </w:p>
    <w:p w14:paraId="57DE133C" w14:textId="77777777" w:rsidR="00904167" w:rsidRDefault="00904167" w:rsidP="00904167">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4371B814" w14:textId="183C6464" w:rsidR="00705873" w:rsidRDefault="00705873" w:rsidP="006C1264">
      <w:pPr>
        <w:pStyle w:val="ListParagraph"/>
        <w:numPr>
          <w:ilvl w:val="1"/>
          <w:numId w:val="1"/>
        </w:numPr>
      </w:pPr>
      <w:r w:rsidRPr="00705873">
        <w:t xml:space="preserve">Signage must be displayed declaring HD present in all storage areas </w:t>
      </w:r>
    </w:p>
    <w:p w14:paraId="251B91C1" w14:textId="77777777" w:rsidR="00AA5B36" w:rsidRDefault="00B81833" w:rsidP="006C1264">
      <w:pPr>
        <w:pStyle w:val="ListParagraph"/>
        <w:numPr>
          <w:ilvl w:val="1"/>
          <w:numId w:val="1"/>
        </w:numPr>
      </w:pPr>
      <w:r>
        <w:t xml:space="preserve">Non-sterile and sterile </w:t>
      </w:r>
      <w:r w:rsidR="00377BF3">
        <w:t xml:space="preserve">HD may be stored together, but non-sterile HD cannot be stored in a sterile compounding environment. </w:t>
      </w:r>
    </w:p>
    <w:p w14:paraId="5FE41D81" w14:textId="01A4AA07" w:rsidR="00B81833" w:rsidRPr="00705873" w:rsidRDefault="00AA5B36" w:rsidP="006C1264">
      <w:pPr>
        <w:pStyle w:val="ListParagraph"/>
        <w:numPr>
          <w:ilvl w:val="1"/>
          <w:numId w:val="1"/>
        </w:numPr>
      </w:pPr>
      <w:r w:rsidRPr="00705873">
        <w:t>Access to HD storage area must be limited to authorized, trained individuals</w:t>
      </w:r>
    </w:p>
    <w:p w14:paraId="51958007" w14:textId="0AB000C5" w:rsidR="00904167" w:rsidRDefault="00904167" w:rsidP="00904167">
      <w:pPr>
        <w:pStyle w:val="ListParagraph"/>
        <w:ind w:left="792"/>
        <w:rPr>
          <w:color w:val="FF0000"/>
        </w:rPr>
      </w:pPr>
    </w:p>
    <w:p w14:paraId="1D1A2A8C" w14:textId="0FDEF5B2" w:rsidR="000D0C0D" w:rsidRDefault="000D0C0D" w:rsidP="00904167">
      <w:pPr>
        <w:pStyle w:val="ListParagraph"/>
        <w:ind w:left="792"/>
        <w:rPr>
          <w:color w:val="FF0000"/>
        </w:rPr>
      </w:pPr>
    </w:p>
    <w:p w14:paraId="77846BAA" w14:textId="77777777" w:rsidR="000D0C0D" w:rsidRPr="0084076E" w:rsidRDefault="000D0C0D" w:rsidP="00904167">
      <w:pPr>
        <w:pStyle w:val="ListParagraph"/>
        <w:ind w:left="792"/>
        <w:rPr>
          <w:color w:val="FF0000"/>
        </w:rPr>
      </w:pPr>
    </w:p>
    <w:p w14:paraId="222B556D" w14:textId="7D52426A" w:rsidR="008A66BB" w:rsidRPr="00E06E3B" w:rsidRDefault="00CB7E8D" w:rsidP="00E06E3B">
      <w:pPr>
        <w:pStyle w:val="ListParagraph"/>
        <w:numPr>
          <w:ilvl w:val="0"/>
          <w:numId w:val="1"/>
        </w:numPr>
        <w:rPr>
          <w:b/>
          <w:bCs/>
        </w:rPr>
      </w:pPr>
      <w:r w:rsidRPr="00817547">
        <w:rPr>
          <w:b/>
          <w:bCs/>
        </w:rPr>
        <w:t xml:space="preserve">Procedure </w:t>
      </w:r>
    </w:p>
    <w:p w14:paraId="7E24806A" w14:textId="77777777" w:rsidR="00705873" w:rsidRDefault="00705873" w:rsidP="00F66500">
      <w:pPr>
        <w:pStyle w:val="ListParagraph"/>
        <w:numPr>
          <w:ilvl w:val="1"/>
          <w:numId w:val="1"/>
        </w:numPr>
      </w:pPr>
      <w:r>
        <w:t>Antineoplastic HD requiring manipulation outside of counting and repacking and all HD API used in non-sterile compounding</w:t>
      </w:r>
      <w:r w:rsidR="00F66500" w:rsidRPr="00F66500">
        <w:t xml:space="preserve"> must be</w:t>
      </w:r>
      <w:r>
        <w:t xml:space="preserve"> stored separate from non-HD.</w:t>
      </w:r>
      <w:r w:rsidR="00F66500" w:rsidRPr="00F66500">
        <w:t xml:space="preserve"> </w:t>
      </w:r>
    </w:p>
    <w:p w14:paraId="6F04B242" w14:textId="3382A1C2" w:rsidR="00904167" w:rsidRDefault="00BE3E06" w:rsidP="008A66BB">
      <w:pPr>
        <w:pStyle w:val="ListParagraph"/>
        <w:numPr>
          <w:ilvl w:val="1"/>
          <w:numId w:val="1"/>
        </w:numPr>
      </w:pPr>
      <w:r>
        <w:t>Once unpacked from shipping package/ containers, t</w:t>
      </w:r>
      <w:r w:rsidR="00705873">
        <w:t xml:space="preserve">hese HDs must be </w:t>
      </w:r>
      <w:r w:rsidR="00F66500" w:rsidRPr="00F66500">
        <w:t>immediately transferred to and stored in</w:t>
      </w:r>
      <w:r w:rsidR="00705873">
        <w:t>to</w:t>
      </w:r>
      <w:r w:rsidR="00F66500" w:rsidRPr="00F66500">
        <w:t xml:space="preserve"> a</w:t>
      </w:r>
      <w:r w:rsidR="00705873">
        <w:t xml:space="preserve"> designated, externally vented room</w:t>
      </w:r>
      <w:r w:rsidR="00F66500" w:rsidRPr="00F66500">
        <w:t xml:space="preserve"> with at least 12 ACPH -0.01 to -0.03 negative pressure relative to the surrounding areas</w:t>
      </w:r>
      <w:r w:rsidR="00705873">
        <w:t xml:space="preserve"> </w:t>
      </w:r>
    </w:p>
    <w:p w14:paraId="3E618908" w14:textId="648070C5" w:rsidR="008A66BB" w:rsidRDefault="008A66BB" w:rsidP="008A66BB">
      <w:pPr>
        <w:pStyle w:val="ListParagraph"/>
        <w:numPr>
          <w:ilvl w:val="3"/>
          <w:numId w:val="1"/>
        </w:numPr>
        <w:ind w:left="1800" w:hanging="720"/>
      </w:pPr>
      <w:r w:rsidRPr="008A66BB">
        <w:t>Non</w:t>
      </w:r>
      <w:r>
        <w:t>-</w:t>
      </w:r>
      <w:r w:rsidRPr="008A66BB">
        <w:t>antineoplastic, reproductive risk only, and final dosage forms of antineoplastic HDs may be stored with other inventory</w:t>
      </w:r>
      <w:r w:rsidR="00E06E3B">
        <w:t xml:space="preserve"> for dispensing</w:t>
      </w:r>
      <w:r>
        <w:t>,</w:t>
      </w:r>
      <w:r w:rsidRPr="008A66BB">
        <w:t xml:space="preserve"> if permitted </w:t>
      </w:r>
      <w:r>
        <w:t xml:space="preserve">and documented </w:t>
      </w:r>
      <w:r w:rsidRPr="008A66BB">
        <w:t>by entity policy</w:t>
      </w:r>
    </w:p>
    <w:p w14:paraId="350DCB0B" w14:textId="63F95DEF" w:rsidR="00490FC5" w:rsidRDefault="00490FC5" w:rsidP="008A66BB">
      <w:pPr>
        <w:pStyle w:val="ListParagraph"/>
        <w:numPr>
          <w:ilvl w:val="1"/>
          <w:numId w:val="1"/>
        </w:numPr>
      </w:pPr>
      <w:r>
        <w:t>S</w:t>
      </w:r>
      <w:r w:rsidRPr="00490FC5">
        <w:t xml:space="preserve">urfaces of ceilings, walls, floors, fixtures, shelving, counters, and cabinets in the </w:t>
      </w:r>
      <w:r>
        <w:t xml:space="preserve">HD storage area </w:t>
      </w:r>
      <w:r w:rsidRPr="00490FC5">
        <w:t>must be smooth, impervious, free from cracks and crevices, and non-shedding</w:t>
      </w:r>
    </w:p>
    <w:p w14:paraId="08DFE7B7" w14:textId="10C90D95" w:rsidR="00490FC5" w:rsidRDefault="00490FC5" w:rsidP="008A66BB">
      <w:pPr>
        <w:pStyle w:val="ListParagraph"/>
        <w:numPr>
          <w:ilvl w:val="1"/>
          <w:numId w:val="1"/>
        </w:numPr>
      </w:pPr>
      <w:r>
        <w:t xml:space="preserve">HD cannot be stored on the floor </w:t>
      </w:r>
    </w:p>
    <w:p w14:paraId="0C1AC627" w14:textId="22A7CA74" w:rsidR="00490FC5" w:rsidRDefault="00490FC5" w:rsidP="008A66BB">
      <w:pPr>
        <w:pStyle w:val="ListParagraph"/>
        <w:numPr>
          <w:ilvl w:val="1"/>
          <w:numId w:val="1"/>
        </w:numPr>
      </w:pPr>
      <w:r>
        <w:t>Storage shelving units and cabinet shelves/ bays should be equipped with safety features such as raised front/ side edges to prevent falling and breakage of HD containers</w:t>
      </w:r>
    </w:p>
    <w:p w14:paraId="1A0E8C73" w14:textId="099EA12C" w:rsidR="00B81833" w:rsidRDefault="00B81833" w:rsidP="008A66BB">
      <w:pPr>
        <w:pStyle w:val="ListParagraph"/>
        <w:numPr>
          <w:ilvl w:val="1"/>
          <w:numId w:val="1"/>
        </w:numPr>
      </w:pPr>
      <w:r>
        <w:t xml:space="preserve">If a </w:t>
      </w:r>
      <w:r w:rsidR="00BE3E06">
        <w:t>refrigerator</w:t>
      </w:r>
      <w:r>
        <w:t xml:space="preserve"> is required for HD storage, it must be designated for HD and stored within the </w:t>
      </w:r>
      <w:r w:rsidR="00BE3E06">
        <w:t xml:space="preserve">negative pressure </w:t>
      </w:r>
      <w:r>
        <w:t xml:space="preserve">HD storage room </w:t>
      </w:r>
    </w:p>
    <w:p w14:paraId="660B64A5" w14:textId="5C301366" w:rsidR="008A66BB" w:rsidRDefault="008A66BB" w:rsidP="00490FC5">
      <w:pPr>
        <w:pStyle w:val="ListParagraph"/>
        <w:numPr>
          <w:ilvl w:val="1"/>
          <w:numId w:val="1"/>
        </w:numPr>
      </w:pPr>
      <w:r>
        <w:t>Appropriate PPE, including but not limited to chemotherapy gloves must be worn when handing HD in storage areas</w:t>
      </w:r>
    </w:p>
    <w:p w14:paraId="656EACD1" w14:textId="77777777" w:rsidR="008A66BB" w:rsidRPr="008A66BB" w:rsidRDefault="008A66BB" w:rsidP="008A66BB">
      <w:pPr>
        <w:pStyle w:val="ListParagraph"/>
        <w:ind w:left="792"/>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49E0B754" w:rsidR="003A7D05" w:rsidRDefault="006C1264" w:rsidP="003A7D05">
      <w:pPr>
        <w:pStyle w:val="ListParagraph"/>
        <w:numPr>
          <w:ilvl w:val="2"/>
          <w:numId w:val="1"/>
        </w:numPr>
      </w:pPr>
      <w:r>
        <w:t xml:space="preserve"> </w:t>
      </w:r>
      <w:r w:rsidR="006227E2">
        <w:t>P</w:t>
      </w:r>
      <w:r>
        <w:t xml:space="preserve">rior to </w:t>
      </w:r>
      <w:r w:rsidR="00490FC5" w:rsidRPr="00490FC5">
        <w:t>accessing</w:t>
      </w:r>
      <w:r w:rsidRPr="00490FC5">
        <w:t xml:space="preserve"> </w:t>
      </w:r>
      <w:r>
        <w:t>HD</w:t>
      </w:r>
      <w:r w:rsidR="00490FC5">
        <w:t xml:space="preserve"> storage area</w:t>
      </w:r>
      <w:r>
        <w:t xml:space="preserve">, </w:t>
      </w:r>
    </w:p>
    <w:p w14:paraId="1170AD9E" w14:textId="62FEBA42" w:rsidR="003A7D05" w:rsidRDefault="006227E2" w:rsidP="003A7D05">
      <w:pPr>
        <w:pStyle w:val="ListParagraph"/>
        <w:numPr>
          <w:ilvl w:val="2"/>
          <w:numId w:val="1"/>
        </w:numPr>
      </w:pPr>
      <w:r>
        <w:t xml:space="preserve"> E</w:t>
      </w:r>
      <w:r w:rsidR="003A7D05">
        <w:t>very 12 months</w:t>
      </w:r>
      <w:r w:rsidR="006C1264">
        <w:t xml:space="preserve">, </w:t>
      </w:r>
    </w:p>
    <w:p w14:paraId="54A40760" w14:textId="4C25D8E6" w:rsidR="003A7D05" w:rsidRDefault="006227E2"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7285C99C" w:rsidR="003A7D05" w:rsidRDefault="006227E2" w:rsidP="003A7D05">
      <w:pPr>
        <w:pStyle w:val="ListParagraph"/>
        <w:numPr>
          <w:ilvl w:val="2"/>
          <w:numId w:val="1"/>
        </w:numPr>
      </w:pPr>
      <w:r>
        <w:t xml:space="preserve"> I</w:t>
      </w:r>
      <w:r w:rsidR="003A7D05">
        <w:t>n response to an accidental exposure of HD</w:t>
      </w:r>
      <w:r w:rsidR="0084076E">
        <w:t xml:space="preserve"> during </w:t>
      </w:r>
      <w:r w:rsidR="00490FC5" w:rsidRPr="00490FC5">
        <w:t xml:space="preserve">access to storage </w:t>
      </w:r>
      <w:r w:rsidR="0084076E">
        <w:t>that resulted in documented</w:t>
      </w:r>
      <w:r w:rsidR="003A7D05">
        <w:t xml:space="preserve"> changes in employee health, and</w:t>
      </w:r>
    </w:p>
    <w:p w14:paraId="624EB75F" w14:textId="597303C7" w:rsidR="006C1264" w:rsidRDefault="006227E2" w:rsidP="003A7D05">
      <w:pPr>
        <w:pStyle w:val="ListParagraph"/>
        <w:numPr>
          <w:ilvl w:val="2"/>
          <w:numId w:val="1"/>
        </w:numPr>
      </w:pPr>
      <w:r>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77777777" w:rsidR="00FA5C3E" w:rsidRDefault="00FA5C3E" w:rsidP="00FA5C3E">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208CCEEE" w:rsidR="00904167" w:rsidRPr="00F15039" w:rsidRDefault="004E446E" w:rsidP="00904167">
      <w:pPr>
        <w:pStyle w:val="ListParagraph"/>
        <w:numPr>
          <w:ilvl w:val="1"/>
          <w:numId w:val="1"/>
        </w:numPr>
        <w:ind w:left="990" w:hanging="630"/>
      </w:pPr>
      <w:r w:rsidRPr="00F15039">
        <w:t xml:space="preserve">N/A </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3A7D05" w14:paraId="573974C9" w14:textId="77777777" w:rsidTr="00AC7841">
        <w:tc>
          <w:tcPr>
            <w:tcW w:w="8990" w:type="dxa"/>
            <w:gridSpan w:val="3"/>
          </w:tcPr>
          <w:p w14:paraId="0A576E91" w14:textId="1EC45E1D" w:rsidR="003A7D05" w:rsidRDefault="003A7D05" w:rsidP="003A7D05">
            <w:pPr>
              <w:pStyle w:val="ListParagraph"/>
              <w:ind w:left="0"/>
            </w:pPr>
            <w:r>
              <w:t xml:space="preserve">SOP: </w:t>
            </w:r>
            <w:r w:rsidRPr="006C1264">
              <w:rPr>
                <w:i/>
                <w:iCs/>
                <w:color w:val="FF0000"/>
              </w:rPr>
              <w:t xml:space="preserve">XX.XX: </w:t>
            </w:r>
            <w:r w:rsidRPr="00CB7E8D">
              <w:t xml:space="preserve">- Hazardous Drugs; </w:t>
            </w:r>
            <w:r w:rsidR="00C740A7">
              <w:t>Storage for Non-Sterile Compounding</w:t>
            </w:r>
            <w:r>
              <w:t xml:space="preserve"> 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8"/>
      <w:footerReference w:type="default" r:id="rId9"/>
      <w:headerReference w:type="first" r:id="rId10"/>
      <w:footerReference w:type="first" r:id="rId11"/>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359D1" w14:textId="77777777" w:rsidR="002D3ECB" w:rsidRDefault="002D3ECB" w:rsidP="00CB7E8D">
      <w:pPr>
        <w:spacing w:after="0" w:line="240" w:lineRule="auto"/>
      </w:pPr>
      <w:r>
        <w:separator/>
      </w:r>
    </w:p>
  </w:endnote>
  <w:endnote w:type="continuationSeparator" w:id="0">
    <w:p w14:paraId="3D593CA9" w14:textId="77777777" w:rsidR="002D3ECB" w:rsidRDefault="002D3ECB"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E74AE5">
              <w:rPr>
                <w:b/>
                <w:bCs/>
                <w:noProof/>
                <w:sz w:val="20"/>
                <w:szCs w:val="20"/>
              </w:rPr>
              <w:t>2</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E74AE5">
              <w:rPr>
                <w:b/>
                <w:bCs/>
                <w:noProof/>
                <w:sz w:val="20"/>
                <w:szCs w:val="20"/>
              </w:rPr>
              <w:t>2</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E74AE5">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E74AE5">
          <w:rPr>
            <w:b/>
            <w:bCs/>
            <w:noProof/>
            <w:sz w:val="20"/>
            <w:szCs w:val="20"/>
          </w:rPr>
          <w:t>2</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85A7" w14:textId="77777777" w:rsidR="002D3ECB" w:rsidRDefault="002D3ECB" w:rsidP="00CB7E8D">
      <w:pPr>
        <w:spacing w:after="0" w:line="240" w:lineRule="auto"/>
      </w:pPr>
      <w:r>
        <w:separator/>
      </w:r>
    </w:p>
  </w:footnote>
  <w:footnote w:type="continuationSeparator" w:id="0">
    <w:p w14:paraId="35EBDFD9" w14:textId="77777777" w:rsidR="002D3ECB" w:rsidRDefault="002D3ECB"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6480"/>
      <w:gridCol w:w="2870"/>
    </w:tblGrid>
    <w:tr w:rsidR="00C740A7" w14:paraId="2179B4A6" w14:textId="77777777" w:rsidTr="0034358F">
      <w:tc>
        <w:tcPr>
          <w:tcW w:w="9350" w:type="dxa"/>
          <w:gridSpan w:val="2"/>
        </w:tcPr>
        <w:p w14:paraId="4B47EDC6" w14:textId="77777777" w:rsidR="00C740A7" w:rsidRPr="00817547" w:rsidRDefault="00C740A7" w:rsidP="00C740A7">
          <w:pPr>
            <w:pStyle w:val="Header"/>
            <w:rPr>
              <w:color w:val="FF0000"/>
            </w:rPr>
          </w:pPr>
          <w:r w:rsidRPr="00817547">
            <w:rPr>
              <w:color w:val="FF0000"/>
            </w:rPr>
            <w:t>Company Name</w:t>
          </w:r>
        </w:p>
      </w:tc>
    </w:tr>
    <w:tr w:rsidR="00C740A7" w14:paraId="5D01B8A7" w14:textId="77777777" w:rsidTr="0034358F">
      <w:tc>
        <w:tcPr>
          <w:tcW w:w="6480" w:type="dxa"/>
        </w:tcPr>
        <w:p w14:paraId="55141779" w14:textId="77777777" w:rsidR="00C740A7" w:rsidRDefault="00C740A7" w:rsidP="00C740A7">
          <w:pPr>
            <w:pStyle w:val="Header"/>
          </w:pPr>
          <w:r>
            <w:t xml:space="preserve">SOP: </w:t>
          </w:r>
          <w:r w:rsidRPr="006C1264">
            <w:rPr>
              <w:i/>
              <w:iCs/>
              <w:color w:val="FF0000"/>
            </w:rPr>
            <w:t xml:space="preserve">XX.XX: </w:t>
          </w:r>
          <w:r w:rsidRPr="00CB7E8D">
            <w:t>- Hazardous Drugs</w:t>
          </w:r>
          <w:r>
            <w:t>; Storage for Non-Sterile Compounding</w:t>
          </w:r>
        </w:p>
      </w:tc>
      <w:tc>
        <w:tcPr>
          <w:tcW w:w="2870" w:type="dxa"/>
        </w:tcPr>
        <w:p w14:paraId="7ED56E9F" w14:textId="77777777" w:rsidR="00C740A7" w:rsidRDefault="00C740A7" w:rsidP="00C740A7">
          <w:pPr>
            <w:pStyle w:val="Header"/>
          </w:pPr>
          <w:r>
            <w:t>Version: 1</w:t>
          </w:r>
        </w:p>
      </w:tc>
    </w:tr>
    <w:tr w:rsidR="00C740A7" w14:paraId="1DB7C696" w14:textId="77777777" w:rsidTr="0034358F">
      <w:tc>
        <w:tcPr>
          <w:tcW w:w="6480" w:type="dxa"/>
        </w:tcPr>
        <w:p w14:paraId="2615D847" w14:textId="77777777" w:rsidR="00C740A7" w:rsidRDefault="00C740A7" w:rsidP="00C740A7">
          <w:pPr>
            <w:pStyle w:val="Header"/>
          </w:pPr>
          <w:r>
            <w:t xml:space="preserve">Date Approved: </w:t>
          </w:r>
          <w:r w:rsidRPr="006C1264">
            <w:rPr>
              <w:color w:val="FF0000"/>
            </w:rPr>
            <w:t>XX/XX/XXXX</w:t>
          </w:r>
        </w:p>
      </w:tc>
      <w:tc>
        <w:tcPr>
          <w:tcW w:w="2870" w:type="dxa"/>
        </w:tcPr>
        <w:p w14:paraId="2F16EE11" w14:textId="77777777" w:rsidR="00C740A7" w:rsidRDefault="00C740A7" w:rsidP="00C740A7">
          <w:pPr>
            <w:pStyle w:val="Header"/>
          </w:pPr>
          <w:r>
            <w:t xml:space="preserve">Approved by: </w:t>
          </w:r>
          <w:r w:rsidRPr="006C1264">
            <w:rPr>
              <w:color w:val="FF0000"/>
            </w:rPr>
            <w:t>Name of</w:t>
          </w:r>
          <w:r>
            <w:rPr>
              <w:color w:val="FF0000"/>
            </w:rPr>
            <w:t xml:space="preserve"> </w:t>
          </w:r>
          <w:r w:rsidRPr="006C1264">
            <w:rPr>
              <w:color w:val="FF0000"/>
            </w:rPr>
            <w:t>Designated Person</w:t>
          </w:r>
        </w:p>
      </w:tc>
    </w:tr>
  </w:tbl>
  <w:p w14:paraId="5AFA8AC5" w14:textId="77777777" w:rsidR="003A7D05" w:rsidRDefault="003A7D05" w:rsidP="00372E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6480"/>
      <w:gridCol w:w="2870"/>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r w:rsidRPr="00817547">
            <w:rPr>
              <w:color w:val="FF0000"/>
            </w:rPr>
            <w:t>Company Name</w:t>
          </w:r>
        </w:p>
      </w:tc>
    </w:tr>
    <w:tr w:rsidR="00817547" w14:paraId="2E00280E" w14:textId="77777777" w:rsidTr="00C740A7">
      <w:tc>
        <w:tcPr>
          <w:tcW w:w="6480" w:type="dxa"/>
        </w:tcPr>
        <w:p w14:paraId="3165CABB" w14:textId="12640A52" w:rsidR="00817547" w:rsidRDefault="00817547" w:rsidP="00817547">
          <w:pPr>
            <w:pStyle w:val="Header"/>
          </w:pPr>
          <w:r>
            <w:t xml:space="preserve">SOP: </w:t>
          </w:r>
          <w:r w:rsidRPr="006C1264">
            <w:rPr>
              <w:i/>
              <w:iCs/>
              <w:color w:val="FF0000"/>
            </w:rPr>
            <w:t xml:space="preserve">XX.XX: </w:t>
          </w:r>
          <w:r w:rsidRPr="00CB7E8D">
            <w:t>- Hazardous Drugs</w:t>
          </w:r>
          <w:r w:rsidR="00E33C82">
            <w:t>; Storage</w:t>
          </w:r>
          <w:r w:rsidR="00C740A7">
            <w:t xml:space="preserve"> for Non-Sterile Compounding</w:t>
          </w:r>
        </w:p>
      </w:tc>
      <w:tc>
        <w:tcPr>
          <w:tcW w:w="2870" w:type="dxa"/>
        </w:tcPr>
        <w:p w14:paraId="291F39FB" w14:textId="77777777" w:rsidR="00817547" w:rsidRDefault="00817547" w:rsidP="00817547">
          <w:pPr>
            <w:pStyle w:val="Header"/>
          </w:pPr>
          <w:r>
            <w:t>Version: 1</w:t>
          </w:r>
        </w:p>
      </w:tc>
    </w:tr>
    <w:tr w:rsidR="00817547" w14:paraId="40B82CF9" w14:textId="77777777" w:rsidTr="00C740A7">
      <w:tc>
        <w:tcPr>
          <w:tcW w:w="6480" w:type="dxa"/>
        </w:tcPr>
        <w:p w14:paraId="570D5AB4" w14:textId="77777777" w:rsidR="00817547" w:rsidRDefault="00817547" w:rsidP="00817547">
          <w:pPr>
            <w:pStyle w:val="Header"/>
          </w:pPr>
          <w:r>
            <w:t xml:space="preserve">Date Approved: </w:t>
          </w:r>
          <w:r w:rsidRPr="006C1264">
            <w:rPr>
              <w:color w:val="FF0000"/>
            </w:rPr>
            <w:t>XX/XX/XXXX</w:t>
          </w:r>
        </w:p>
      </w:tc>
      <w:tc>
        <w:tcPr>
          <w:tcW w:w="2870" w:type="dxa"/>
        </w:tcPr>
        <w:p w14:paraId="365D9F61" w14:textId="6FBCA17C" w:rsidR="00817547" w:rsidRDefault="00817547" w:rsidP="00817547">
          <w:pPr>
            <w:pStyle w:val="Header"/>
          </w:pPr>
          <w:r>
            <w:t xml:space="preserve">Approved by: </w:t>
          </w:r>
          <w:r w:rsidRPr="006C1264">
            <w:rPr>
              <w:color w:val="FF0000"/>
            </w:rPr>
            <w:t>Name of</w:t>
          </w:r>
          <w:r w:rsidR="00C740A7">
            <w:rPr>
              <w:color w:val="FF0000"/>
            </w:rPr>
            <w:t xml:space="preserve"> </w:t>
          </w:r>
          <w:r w:rsidRPr="006C1264">
            <w:rPr>
              <w:color w:val="FF0000"/>
            </w:rPr>
            <w:t>Designated Person</w:t>
          </w:r>
        </w:p>
      </w:tc>
    </w:tr>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D0C0D"/>
    <w:rsid w:val="00126C57"/>
    <w:rsid w:val="002D3ECB"/>
    <w:rsid w:val="003251DD"/>
    <w:rsid w:val="00372E75"/>
    <w:rsid w:val="00377BF3"/>
    <w:rsid w:val="003A7D05"/>
    <w:rsid w:val="00490FC5"/>
    <w:rsid w:val="004E446E"/>
    <w:rsid w:val="005B13D3"/>
    <w:rsid w:val="006227E2"/>
    <w:rsid w:val="006968BB"/>
    <w:rsid w:val="006C1264"/>
    <w:rsid w:val="00705873"/>
    <w:rsid w:val="00817547"/>
    <w:rsid w:val="0084076E"/>
    <w:rsid w:val="008A66BB"/>
    <w:rsid w:val="00904167"/>
    <w:rsid w:val="00A336FF"/>
    <w:rsid w:val="00A83290"/>
    <w:rsid w:val="00AA5B36"/>
    <w:rsid w:val="00B81833"/>
    <w:rsid w:val="00BE3E06"/>
    <w:rsid w:val="00C740A7"/>
    <w:rsid w:val="00C92536"/>
    <w:rsid w:val="00CB7A7B"/>
    <w:rsid w:val="00CB7E8D"/>
    <w:rsid w:val="00DE6B01"/>
    <w:rsid w:val="00E06E3B"/>
    <w:rsid w:val="00E33C82"/>
    <w:rsid w:val="00E74AE5"/>
    <w:rsid w:val="00F15039"/>
    <w:rsid w:val="00F66500"/>
    <w:rsid w:val="00FA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16</cp:revision>
  <cp:lastPrinted>2019-09-09T15:07:00Z</cp:lastPrinted>
  <dcterms:created xsi:type="dcterms:W3CDTF">2019-07-14T20:12:00Z</dcterms:created>
  <dcterms:modified xsi:type="dcterms:W3CDTF">2019-09-09T15:08:00Z</dcterms:modified>
</cp:coreProperties>
</file>