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8F0" w14:textId="7EFF716C" w:rsidR="00CB7E8D" w:rsidRPr="00817547" w:rsidRDefault="003A7D05" w:rsidP="00CB7E8D">
      <w:pPr>
        <w:pStyle w:val="ListParagraph"/>
        <w:numPr>
          <w:ilvl w:val="0"/>
          <w:numId w:val="1"/>
        </w:numPr>
        <w:rPr>
          <w:b/>
          <w:bCs/>
        </w:rPr>
      </w:pPr>
      <w:r w:rsidRPr="00817547">
        <w:rPr>
          <w:b/>
          <w:bCs/>
        </w:rPr>
        <w:t>P</w:t>
      </w:r>
      <w:r w:rsidR="00CB7E8D" w:rsidRPr="00817547">
        <w:rPr>
          <w:b/>
          <w:bCs/>
        </w:rPr>
        <w:t xml:space="preserve">urpose </w:t>
      </w:r>
    </w:p>
    <w:p w14:paraId="3D43BFCD" w14:textId="1F039A44" w:rsidR="00673FEA" w:rsidRPr="00673FEA" w:rsidRDefault="00CB7E8D" w:rsidP="00904167">
      <w:pPr>
        <w:pStyle w:val="ListParagraph"/>
        <w:numPr>
          <w:ilvl w:val="1"/>
          <w:numId w:val="1"/>
        </w:numPr>
      </w:pPr>
      <w:r>
        <w:t>The purpose of this SOP</w:t>
      </w:r>
      <w:r w:rsidR="00673FEA">
        <w:t xml:space="preserve"> is to establish minimum safety and quality standards for safe</w:t>
      </w:r>
      <w:r w:rsidR="00C320B3">
        <w:t xml:space="preserve"> handling of hazardous drugs (HD</w:t>
      </w:r>
      <w:r w:rsidR="00673FEA">
        <w:t xml:space="preserve">) at </w:t>
      </w:r>
      <w:r w:rsidR="00673FEA" w:rsidRPr="00E33C82">
        <w:rPr>
          <w:color w:val="FF0000"/>
        </w:rPr>
        <w:t>[</w:t>
      </w:r>
      <w:r w:rsidR="00673FEA">
        <w:rPr>
          <w:color w:val="FF0000"/>
        </w:rPr>
        <w:t>company]</w:t>
      </w:r>
    </w:p>
    <w:p w14:paraId="3C913225" w14:textId="624657E6" w:rsidR="00904167" w:rsidRDefault="00673FEA" w:rsidP="00904167">
      <w:pPr>
        <w:pStyle w:val="ListParagraph"/>
        <w:numPr>
          <w:ilvl w:val="1"/>
          <w:numId w:val="1"/>
        </w:numPr>
      </w:pPr>
      <w:r>
        <w:rPr>
          <w:color w:val="FF0000"/>
        </w:rPr>
        <w:t>The purpose of this SOP</w:t>
      </w:r>
      <w:r w:rsidR="00CB7E8D">
        <w:t xml:space="preserve"> is</w:t>
      </w:r>
      <w:r>
        <w:t xml:space="preserve"> also</w:t>
      </w:r>
      <w:r w:rsidR="00CB7E8D">
        <w:t xml:space="preserve"> to </w:t>
      </w:r>
      <w:r w:rsidR="003F741F">
        <w:t>document that compounding wit</w:t>
      </w:r>
      <w:r>
        <w:t xml:space="preserve">h </w:t>
      </w:r>
      <w:r w:rsidR="003F741F">
        <w:t>HD is not permitted at this location</w:t>
      </w:r>
    </w:p>
    <w:p w14:paraId="3BB00630" w14:textId="15ED524B" w:rsidR="00CB7E8D" w:rsidRPr="00817547" w:rsidRDefault="00CB7E8D" w:rsidP="00CB7E8D">
      <w:pPr>
        <w:pStyle w:val="ListParagraph"/>
        <w:numPr>
          <w:ilvl w:val="0"/>
          <w:numId w:val="1"/>
        </w:numPr>
        <w:rPr>
          <w:b/>
          <w:bCs/>
        </w:rPr>
      </w:pPr>
      <w:r w:rsidRPr="00817547">
        <w:rPr>
          <w:b/>
          <w:bCs/>
        </w:rPr>
        <w:t xml:space="preserve">Responsibility </w:t>
      </w:r>
    </w:p>
    <w:p w14:paraId="4C7ACD9A" w14:textId="67892F28"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erson to ensure th</w:t>
      </w:r>
      <w:r w:rsidR="003F741F">
        <w:t>at all HD hand</w:t>
      </w:r>
      <w:r w:rsidR="000F6917">
        <w:t>l</w:t>
      </w:r>
      <w:r w:rsidR="003F741F">
        <w:t>ing</w:t>
      </w:r>
      <w:r>
        <w:t xml:space="preserve"> meets local, state, and federal regulations as required </w:t>
      </w:r>
    </w:p>
    <w:p w14:paraId="2AEB7094" w14:textId="57788EBE" w:rsidR="003F741F" w:rsidRDefault="00CB7E8D" w:rsidP="003F741F">
      <w:pPr>
        <w:pStyle w:val="ListParagraph"/>
        <w:numPr>
          <w:ilvl w:val="1"/>
          <w:numId w:val="1"/>
        </w:numPr>
      </w:pPr>
      <w:r>
        <w:t xml:space="preserve">It is the responsibility of the </w:t>
      </w:r>
      <w:r w:rsidR="005B13D3">
        <w:t>D</w:t>
      </w:r>
      <w:r>
        <w:t xml:space="preserve">esignated </w:t>
      </w:r>
      <w:r w:rsidR="005B13D3">
        <w:t>P</w:t>
      </w:r>
      <w:r>
        <w:t xml:space="preserve">erson to ensure </w:t>
      </w:r>
      <w:r w:rsidR="003F741F">
        <w:t>that all staff are trained on this SOP and that all staff are aware that we do not</w:t>
      </w:r>
      <w:r>
        <w:t xml:space="preserve"> </w:t>
      </w:r>
      <w:r w:rsidR="006F1FDA" w:rsidRPr="006F1FDA">
        <w:t xml:space="preserve">engage </w:t>
      </w:r>
      <w:r w:rsidR="003F741F">
        <w:t xml:space="preserve">HD </w:t>
      </w:r>
      <w:r w:rsidR="006F1FDA" w:rsidRPr="006F1FDA">
        <w:t xml:space="preserve">compounding </w:t>
      </w:r>
    </w:p>
    <w:p w14:paraId="3897BB60" w14:textId="77777777" w:rsidR="00904167" w:rsidRDefault="00904167" w:rsidP="00904167">
      <w:pPr>
        <w:pStyle w:val="ListParagraph"/>
        <w:ind w:left="792"/>
      </w:pPr>
    </w:p>
    <w:p w14:paraId="17FCFA52" w14:textId="28B44241" w:rsidR="00CB7E8D" w:rsidRPr="00817547" w:rsidRDefault="00CB7E8D" w:rsidP="00CB7E8D">
      <w:pPr>
        <w:pStyle w:val="ListParagraph"/>
        <w:numPr>
          <w:ilvl w:val="0"/>
          <w:numId w:val="1"/>
        </w:numPr>
        <w:rPr>
          <w:b/>
          <w:bCs/>
        </w:rPr>
      </w:pPr>
      <w:r w:rsidRPr="00817547">
        <w:rPr>
          <w:b/>
          <w:bCs/>
        </w:rPr>
        <w:t xml:space="preserve">Scope </w:t>
      </w:r>
    </w:p>
    <w:p w14:paraId="265E864A" w14:textId="43239D98" w:rsidR="00CB7E8D" w:rsidRDefault="00CB7E8D" w:rsidP="00CB7E8D">
      <w:pPr>
        <w:pStyle w:val="ListParagraph"/>
        <w:numPr>
          <w:ilvl w:val="1"/>
          <w:numId w:val="1"/>
        </w:numPr>
      </w:pPr>
      <w:r>
        <w:t xml:space="preserve">This SOP applies to all personnel </w:t>
      </w:r>
      <w:r w:rsidR="00F440A6">
        <w:t>dispensing</w:t>
      </w:r>
      <w:r w:rsidR="00673FEA">
        <w:t xml:space="preserve"> HD </w:t>
      </w:r>
      <w:r w:rsidR="003F741F">
        <w:t xml:space="preserve">at </w:t>
      </w:r>
      <w:r w:rsidR="003F741F" w:rsidRPr="003F741F">
        <w:rPr>
          <w:color w:val="FF0000"/>
        </w:rPr>
        <w:t>[company]</w:t>
      </w:r>
    </w:p>
    <w:p w14:paraId="74BEE456" w14:textId="77777777" w:rsidR="00904167" w:rsidRDefault="00904167" w:rsidP="00904167">
      <w:pPr>
        <w:pStyle w:val="ListParagraph"/>
        <w:ind w:left="792"/>
      </w:pPr>
    </w:p>
    <w:p w14:paraId="3ECD057A" w14:textId="39174CF2" w:rsidR="00CB7E8D" w:rsidRPr="00817547" w:rsidRDefault="00CB7E8D" w:rsidP="00CB7E8D">
      <w:pPr>
        <w:pStyle w:val="ListParagraph"/>
        <w:numPr>
          <w:ilvl w:val="0"/>
          <w:numId w:val="1"/>
        </w:numPr>
        <w:rPr>
          <w:b/>
          <w:bCs/>
        </w:rPr>
      </w:pPr>
      <w:r w:rsidRPr="00817547">
        <w:rPr>
          <w:b/>
          <w:bCs/>
        </w:rPr>
        <w:t xml:space="preserve">References </w:t>
      </w:r>
    </w:p>
    <w:p w14:paraId="4DEFAC57" w14:textId="5A4AA5AF" w:rsidR="00CB7E8D" w:rsidRDefault="00CB7E8D" w:rsidP="00CB7E8D">
      <w:pPr>
        <w:pStyle w:val="ListParagraph"/>
        <w:numPr>
          <w:ilvl w:val="1"/>
          <w:numId w:val="1"/>
        </w:numPr>
      </w:pPr>
      <w:r>
        <w:t xml:space="preserve">USP General Chapter &lt;800&gt; – </w:t>
      </w:r>
      <w:r w:rsidRPr="00A05565">
        <w:rPr>
          <w:i/>
          <w:iCs/>
        </w:rPr>
        <w:t>Hazardous Drugs – Handling in Healthcare Settings</w:t>
      </w:r>
      <w:r>
        <w:t xml:space="preserve">, published in the May 31, 2019 USP Committee Revision Bulletin  </w:t>
      </w:r>
    </w:p>
    <w:p w14:paraId="7CC320E2" w14:textId="77777777" w:rsidR="00904167" w:rsidRDefault="00904167" w:rsidP="00904167">
      <w:pPr>
        <w:pStyle w:val="ListParagraph"/>
        <w:ind w:left="792"/>
      </w:pPr>
    </w:p>
    <w:p w14:paraId="098FF648" w14:textId="26768594" w:rsidR="00CB7E8D" w:rsidRPr="00817547" w:rsidRDefault="00CB7E8D" w:rsidP="00CB7E8D">
      <w:pPr>
        <w:pStyle w:val="ListParagraph"/>
        <w:numPr>
          <w:ilvl w:val="0"/>
          <w:numId w:val="1"/>
        </w:numPr>
        <w:rPr>
          <w:b/>
          <w:bCs/>
        </w:rPr>
      </w:pPr>
      <w:r w:rsidRPr="00817547">
        <w:rPr>
          <w:b/>
          <w:bCs/>
        </w:rPr>
        <w:t xml:space="preserve">Acronyms &amp; Definitions </w:t>
      </w:r>
    </w:p>
    <w:p w14:paraId="4A7923FC" w14:textId="71A88363" w:rsidR="00FB6026" w:rsidRDefault="00FB6026" w:rsidP="00FB6026">
      <w:pPr>
        <w:pStyle w:val="ListParagraph"/>
        <w:numPr>
          <w:ilvl w:val="1"/>
          <w:numId w:val="1"/>
        </w:numPr>
      </w:pPr>
      <w:r>
        <w:t xml:space="preserve">C-PEC – </w:t>
      </w:r>
      <w:r w:rsidR="00163518">
        <w:t>C</w:t>
      </w:r>
      <w:r>
        <w:t xml:space="preserve">ontainment </w:t>
      </w:r>
      <w:r w:rsidR="00163518">
        <w:t>P</w:t>
      </w:r>
      <w:r>
        <w:t xml:space="preserve">rimary </w:t>
      </w:r>
      <w:r w:rsidR="00163518">
        <w:t>E</w:t>
      </w:r>
      <w:r>
        <w:t xml:space="preserve">ngineering </w:t>
      </w:r>
      <w:r w:rsidR="00163518">
        <w:t>C</w:t>
      </w:r>
      <w:r>
        <w:t>ontrol - a</w:t>
      </w:r>
      <w:r w:rsidRPr="00FC6F90">
        <w:t xml:space="preserve"> ventilated device designed and operated to minimize worker and environmental exposures to HDs by controlling emissions of airborne contaminants</w:t>
      </w:r>
    </w:p>
    <w:p w14:paraId="246659EF" w14:textId="7B1E2A92" w:rsidR="00FB6026" w:rsidRDefault="00FB6026" w:rsidP="00FB6026">
      <w:pPr>
        <w:pStyle w:val="ListParagraph"/>
        <w:numPr>
          <w:ilvl w:val="1"/>
          <w:numId w:val="1"/>
        </w:numPr>
      </w:pPr>
      <w:r>
        <w:t xml:space="preserve">C-SEC – </w:t>
      </w:r>
      <w:r w:rsidR="00163518">
        <w:t>Containment S</w:t>
      </w:r>
      <w:r>
        <w:t xml:space="preserve">econdary </w:t>
      </w:r>
      <w:r w:rsidR="00163518">
        <w:t>E</w:t>
      </w:r>
      <w:r>
        <w:t xml:space="preserve">ngineering </w:t>
      </w:r>
      <w:r w:rsidR="00163518">
        <w:t>C</w:t>
      </w:r>
      <w:r>
        <w:t>ontrol - a</w:t>
      </w:r>
      <w:r w:rsidRPr="00FC6F90">
        <w:t xml:space="preserve"> with fixed walls in which the C-PEC is placed. It incorporates specific design and operational parameters required to contain the potential hazard within the compounding room</w:t>
      </w:r>
    </w:p>
    <w:p w14:paraId="278BEF93" w14:textId="2283EE06" w:rsidR="006C1264" w:rsidRDefault="006C1264" w:rsidP="006C1264">
      <w:pPr>
        <w:pStyle w:val="ListParagraph"/>
        <w:numPr>
          <w:ilvl w:val="1"/>
          <w:numId w:val="1"/>
        </w:numPr>
      </w:pPr>
      <w:r>
        <w:t xml:space="preserve">HD – Hazardous Drugs -  The National Institute for Occupations Safety and Health (NIOSH) considers a drug to be hazardous if it exhibits one or more of the following properties in humans or animals; carcinogenicity, teratogenicity or developmental toxicity, reproductive toxicity, organ toxicity at low doses, genotoxicity, or structure and toxicity profiles of new drugs that mimic existing hazardous drugs </w:t>
      </w:r>
    </w:p>
    <w:p w14:paraId="6F559A10" w14:textId="60DD3FCA" w:rsidR="00CB7E8D" w:rsidRDefault="00CB7E8D" w:rsidP="00CB7E8D">
      <w:pPr>
        <w:pStyle w:val="ListParagraph"/>
        <w:numPr>
          <w:ilvl w:val="1"/>
          <w:numId w:val="1"/>
        </w:numPr>
      </w:pPr>
      <w:r>
        <w:t>USP – United States Pharmacopeia</w:t>
      </w:r>
    </w:p>
    <w:p w14:paraId="22E50E36" w14:textId="2040149D" w:rsidR="006C1264" w:rsidRDefault="006C1264" w:rsidP="00CB7E8D">
      <w:pPr>
        <w:pStyle w:val="ListParagraph"/>
        <w:numPr>
          <w:ilvl w:val="1"/>
          <w:numId w:val="1"/>
        </w:numPr>
      </w:pPr>
      <w:r>
        <w:t xml:space="preserve">Designated Person – A trained and qualified person designated by </w:t>
      </w:r>
      <w:r w:rsidR="00E33C82" w:rsidRPr="00E33C82">
        <w:rPr>
          <w:color w:val="FF0000"/>
        </w:rPr>
        <w:t>[</w:t>
      </w:r>
      <w:r w:rsidR="00E33C82">
        <w:rPr>
          <w:color w:val="FF0000"/>
        </w:rPr>
        <w:t xml:space="preserve">company] </w:t>
      </w:r>
      <w:r w:rsidRPr="006C1264">
        <w:t xml:space="preserve">to be </w:t>
      </w:r>
      <w:r>
        <w:t xml:space="preserve">responsible for developing and implementing appropriate HD procedures, overseeing entity compliance with local, state and federal HD regulations, ensuring personnel HD competency, and ensuring environmental control of HD storage and handling areas </w:t>
      </w:r>
    </w:p>
    <w:p w14:paraId="52D074B4" w14:textId="77777777" w:rsidR="00904167" w:rsidRPr="00372E75" w:rsidRDefault="00904167" w:rsidP="00904167">
      <w:pPr>
        <w:pStyle w:val="ListParagraph"/>
        <w:ind w:left="792"/>
        <w:rPr>
          <w:color w:val="FF0000"/>
        </w:rPr>
      </w:pPr>
    </w:p>
    <w:p w14:paraId="1AABCA03" w14:textId="7C2329ED" w:rsidR="00CB7E8D" w:rsidRPr="00817547" w:rsidRDefault="00CB7E8D" w:rsidP="00CB7E8D">
      <w:pPr>
        <w:pStyle w:val="ListParagraph"/>
        <w:numPr>
          <w:ilvl w:val="0"/>
          <w:numId w:val="1"/>
        </w:numPr>
        <w:rPr>
          <w:b/>
          <w:bCs/>
        </w:rPr>
      </w:pPr>
      <w:r w:rsidRPr="00817547">
        <w:rPr>
          <w:b/>
          <w:bCs/>
        </w:rPr>
        <w:t xml:space="preserve">Frequency </w:t>
      </w:r>
    </w:p>
    <w:p w14:paraId="427128B0" w14:textId="097CB0AF" w:rsidR="00673FEA" w:rsidRDefault="00673FEA" w:rsidP="006C1264">
      <w:pPr>
        <w:pStyle w:val="ListParagraph"/>
        <w:numPr>
          <w:ilvl w:val="1"/>
          <w:numId w:val="1"/>
        </w:numPr>
      </w:pPr>
      <w:r>
        <w:t>This procedure must be followed each time a HD is handled for dispensing purposes</w:t>
      </w:r>
    </w:p>
    <w:p w14:paraId="6C0C60C1" w14:textId="6104B756" w:rsidR="006C1264" w:rsidRPr="00F440A6" w:rsidRDefault="006C1264" w:rsidP="006C1264">
      <w:pPr>
        <w:pStyle w:val="ListParagraph"/>
        <w:numPr>
          <w:ilvl w:val="1"/>
          <w:numId w:val="1"/>
        </w:numPr>
      </w:pPr>
      <w:r>
        <w:t xml:space="preserve">This procedure must be followed </w:t>
      </w:r>
      <w:r w:rsidR="00E33C82">
        <w:t xml:space="preserve">for </w:t>
      </w:r>
      <w:r w:rsidR="00F37745">
        <w:t>each request for a</w:t>
      </w:r>
      <w:r w:rsidR="00E33C82">
        <w:t xml:space="preserve"> </w:t>
      </w:r>
      <w:r w:rsidR="00FE1016">
        <w:t>HD</w:t>
      </w:r>
      <w:r w:rsidR="00600F17">
        <w:t xml:space="preserve"> compound</w:t>
      </w:r>
      <w:r w:rsidR="00A05565">
        <w:t xml:space="preserve"> </w:t>
      </w:r>
      <w:r w:rsidR="00F37745">
        <w:t>received by</w:t>
      </w:r>
      <w:r w:rsidR="00E33C82">
        <w:t xml:space="preserve"> </w:t>
      </w:r>
      <w:r w:rsidR="00E33C82" w:rsidRPr="00E33C82">
        <w:rPr>
          <w:color w:val="FF0000"/>
        </w:rPr>
        <w:t>[</w:t>
      </w:r>
      <w:r w:rsidR="00E33C82">
        <w:rPr>
          <w:color w:val="FF0000"/>
        </w:rPr>
        <w:t>company]</w:t>
      </w:r>
    </w:p>
    <w:p w14:paraId="686954BA" w14:textId="77777777" w:rsidR="00F440A6" w:rsidRPr="00904167" w:rsidRDefault="00F440A6" w:rsidP="00F440A6">
      <w:pPr>
        <w:pStyle w:val="ListParagraph"/>
        <w:ind w:left="792"/>
      </w:pPr>
    </w:p>
    <w:p w14:paraId="57DE133C" w14:textId="77777777" w:rsidR="00904167" w:rsidRDefault="00904167" w:rsidP="00904167">
      <w:pPr>
        <w:pStyle w:val="ListParagraph"/>
        <w:ind w:left="792"/>
      </w:pPr>
    </w:p>
    <w:p w14:paraId="267D4561" w14:textId="0D5B38C5" w:rsidR="00CB7E8D" w:rsidRPr="00817547" w:rsidRDefault="00CB7E8D" w:rsidP="00CB7E8D">
      <w:pPr>
        <w:pStyle w:val="ListParagraph"/>
        <w:numPr>
          <w:ilvl w:val="0"/>
          <w:numId w:val="1"/>
        </w:numPr>
        <w:rPr>
          <w:b/>
          <w:bCs/>
        </w:rPr>
      </w:pPr>
      <w:r w:rsidRPr="00817547">
        <w:rPr>
          <w:b/>
          <w:bCs/>
        </w:rPr>
        <w:t>General Information</w:t>
      </w:r>
    </w:p>
    <w:p w14:paraId="48239E47" w14:textId="45B918D4" w:rsidR="00F37745" w:rsidRDefault="00F37745" w:rsidP="006C1264">
      <w:pPr>
        <w:pStyle w:val="ListParagraph"/>
        <w:numPr>
          <w:ilvl w:val="1"/>
          <w:numId w:val="1"/>
        </w:numPr>
      </w:pPr>
      <w:r>
        <w:lastRenderedPageBreak/>
        <w:t>According to USP &lt;800&gt;, HD compounding require</w:t>
      </w:r>
      <w:r w:rsidR="00E315CC">
        <w:t>s</w:t>
      </w:r>
      <w:r>
        <w:t xml:space="preserve"> engineering controls, such as C-PEC</w:t>
      </w:r>
      <w:r w:rsidR="00E315CC">
        <w:t>s</w:t>
      </w:r>
      <w:r>
        <w:t xml:space="preserve"> and C-SEC</w:t>
      </w:r>
      <w:r w:rsidR="00E315CC">
        <w:t>s</w:t>
      </w:r>
      <w:r>
        <w:t xml:space="preserve">, not available at </w:t>
      </w:r>
      <w:r w:rsidRPr="00E33C82">
        <w:rPr>
          <w:color w:val="FF0000"/>
        </w:rPr>
        <w:t>[</w:t>
      </w:r>
      <w:r>
        <w:rPr>
          <w:color w:val="FF0000"/>
        </w:rPr>
        <w:t xml:space="preserve">company]. </w:t>
      </w:r>
      <w:r w:rsidRPr="00F37745">
        <w:t xml:space="preserve">Therefore, HD compounding is not permitted at this location. </w:t>
      </w:r>
    </w:p>
    <w:p w14:paraId="51958007" w14:textId="77777777" w:rsidR="00904167" w:rsidRPr="0084076E" w:rsidRDefault="00904167" w:rsidP="00904167">
      <w:pPr>
        <w:pStyle w:val="ListParagraph"/>
        <w:ind w:left="792"/>
        <w:rPr>
          <w:color w:val="FF0000"/>
        </w:rPr>
      </w:pPr>
    </w:p>
    <w:p w14:paraId="2B4ADC5E" w14:textId="78A57FF0" w:rsidR="00A04F9B" w:rsidRPr="00A04F9B" w:rsidRDefault="00CB7E8D" w:rsidP="00A04F9B">
      <w:pPr>
        <w:pStyle w:val="ListParagraph"/>
        <w:numPr>
          <w:ilvl w:val="0"/>
          <w:numId w:val="1"/>
        </w:numPr>
        <w:rPr>
          <w:b/>
          <w:bCs/>
        </w:rPr>
      </w:pPr>
      <w:r w:rsidRPr="00817547">
        <w:rPr>
          <w:b/>
          <w:bCs/>
        </w:rPr>
        <w:t xml:space="preserve">Procedure </w:t>
      </w:r>
    </w:p>
    <w:p w14:paraId="15FE2CBB" w14:textId="51C86D9C" w:rsidR="00673FEA" w:rsidRDefault="00EA7EB7" w:rsidP="003A7D05">
      <w:pPr>
        <w:pStyle w:val="ListParagraph"/>
        <w:numPr>
          <w:ilvl w:val="1"/>
          <w:numId w:val="1"/>
        </w:numPr>
      </w:pPr>
      <w:r>
        <w:t>Dispensing</w:t>
      </w:r>
    </w:p>
    <w:p w14:paraId="09E41A73" w14:textId="3A52CFE4" w:rsidR="00954C4B" w:rsidRDefault="00954C4B" w:rsidP="00673FEA">
      <w:pPr>
        <w:pStyle w:val="ListParagraph"/>
        <w:numPr>
          <w:ilvl w:val="2"/>
          <w:numId w:val="1"/>
        </w:numPr>
      </w:pPr>
      <w:r>
        <w:t>Handling of HD</w:t>
      </w:r>
      <w:r w:rsidR="00673FEA">
        <w:t xml:space="preserve"> for the purpose of dispensation</w:t>
      </w:r>
      <w:r>
        <w:t xml:space="preserve"> is limited to activities</w:t>
      </w:r>
      <w:r w:rsidR="00BC1004">
        <w:t>,</w:t>
      </w:r>
      <w:r>
        <w:t xml:space="preserve"> such as counting and repackaging </w:t>
      </w:r>
      <w:r w:rsidR="00BC1004">
        <w:t xml:space="preserve">of commercially manufactured products that do not require addition manipulation (such as crushing, mixing, or opening capsules) prior to dispensing </w:t>
      </w:r>
    </w:p>
    <w:p w14:paraId="0A787639" w14:textId="77777777" w:rsidR="00F043C6" w:rsidRDefault="00EA7EB7" w:rsidP="00F043C6">
      <w:pPr>
        <w:pStyle w:val="ListParagraph"/>
        <w:numPr>
          <w:ilvl w:val="2"/>
          <w:numId w:val="1"/>
        </w:numPr>
      </w:pPr>
      <w:r>
        <w:t xml:space="preserve"> </w:t>
      </w:r>
      <w:r w:rsidR="00F043C6">
        <w:t>Appropriate PPE must be worn during all dispensing activities</w:t>
      </w:r>
    </w:p>
    <w:p w14:paraId="4A5C2147" w14:textId="77777777" w:rsidR="00F043C6" w:rsidRDefault="00F043C6" w:rsidP="00F043C6">
      <w:pPr>
        <w:pStyle w:val="ListParagraph"/>
        <w:numPr>
          <w:ilvl w:val="3"/>
          <w:numId w:val="1"/>
        </w:numPr>
        <w:ind w:left="1800" w:hanging="720"/>
      </w:pPr>
      <w:r>
        <w:t xml:space="preserve">Refer to SOP </w:t>
      </w:r>
      <w:r w:rsidRPr="00FE119D">
        <w:rPr>
          <w:color w:val="FF0000"/>
        </w:rPr>
        <w:t xml:space="preserve">XX.XX </w:t>
      </w:r>
      <w:r>
        <w:t>Hazardous Drugs; Hand Hygiene &amp; Personal Protective Equipment</w:t>
      </w:r>
    </w:p>
    <w:p w14:paraId="3D3DD131" w14:textId="5B47A52B" w:rsidR="00EA7EB7" w:rsidRDefault="00EA7EB7" w:rsidP="00EA7EB7">
      <w:pPr>
        <w:pStyle w:val="ListParagraph"/>
        <w:numPr>
          <w:ilvl w:val="2"/>
          <w:numId w:val="1"/>
        </w:numPr>
      </w:pPr>
      <w:r>
        <w:t>Automated counting/ dispensing devices (such as Kirby Lester, Rx Count, Pixus Machines, etc.) are prohibited for HD counting/ dispensing</w:t>
      </w:r>
    </w:p>
    <w:p w14:paraId="52F9C3F5" w14:textId="7172030D" w:rsidR="00EA7EB7" w:rsidRDefault="00EA7EB7" w:rsidP="00EA7EB7">
      <w:pPr>
        <w:pStyle w:val="ListParagraph"/>
        <w:numPr>
          <w:ilvl w:val="2"/>
          <w:numId w:val="1"/>
        </w:numPr>
      </w:pPr>
      <w:r w:rsidRPr="002B76DD">
        <w:t xml:space="preserve">Disposable or clean equipment for </w:t>
      </w:r>
      <w:r>
        <w:t>HD dispensing</w:t>
      </w:r>
      <w:r w:rsidRPr="002B76DD">
        <w:t xml:space="preserve"> (such as</w:t>
      </w:r>
      <w:r>
        <w:t xml:space="preserve"> counting trays</w:t>
      </w:r>
      <w:r w:rsidRPr="002B76DD">
        <w:t xml:space="preserve"> and spatulas) </w:t>
      </w:r>
      <w:r w:rsidR="00183018">
        <w:t>should</w:t>
      </w:r>
      <w:r w:rsidRPr="002B76DD">
        <w:t xml:space="preserve"> be dedicated for use with HDs</w:t>
      </w:r>
      <w:r>
        <w:t xml:space="preserve">. </w:t>
      </w:r>
    </w:p>
    <w:p w14:paraId="598462D2" w14:textId="5D49107E" w:rsidR="00EA7EB7" w:rsidRDefault="00EA7EB7" w:rsidP="00EA7EB7">
      <w:pPr>
        <w:pStyle w:val="ListParagraph"/>
        <w:numPr>
          <w:ilvl w:val="3"/>
          <w:numId w:val="1"/>
        </w:numPr>
        <w:ind w:left="1800" w:hanging="720"/>
      </w:pPr>
      <w:r>
        <w:t>Non</w:t>
      </w:r>
      <w:r w:rsidR="00F043C6">
        <w:t>-</w:t>
      </w:r>
      <w:r>
        <w:t xml:space="preserve">HD counting / repackaging </w:t>
      </w:r>
      <w:r w:rsidR="00F043C6">
        <w:t>may</w:t>
      </w:r>
      <w:r>
        <w:t xml:space="preserve"> not occur on equipment designated for HD use unless they are labeled and treated as HD</w:t>
      </w:r>
    </w:p>
    <w:p w14:paraId="4A9A83D5" w14:textId="0A03AF7B" w:rsidR="00F043C6" w:rsidRDefault="00EA7EB7" w:rsidP="00F043C6">
      <w:pPr>
        <w:pStyle w:val="ListParagraph"/>
        <w:numPr>
          <w:ilvl w:val="2"/>
          <w:numId w:val="1"/>
        </w:numPr>
      </w:pPr>
      <w:r>
        <w:t xml:space="preserve"> </w:t>
      </w:r>
      <w:r w:rsidR="00F043C6" w:rsidRPr="00F043C6">
        <w:t>All areas where HDs are handled and all reusable equipment and devices must be deactivated, decontaminated, and cleaned</w:t>
      </w:r>
    </w:p>
    <w:p w14:paraId="52DF7BB3" w14:textId="20B1E148" w:rsidR="00EA7EB7" w:rsidRDefault="00EA7EB7" w:rsidP="00EA7EB7">
      <w:pPr>
        <w:pStyle w:val="ListParagraph"/>
        <w:numPr>
          <w:ilvl w:val="2"/>
          <w:numId w:val="1"/>
        </w:numPr>
      </w:pPr>
      <w:r>
        <w:t xml:space="preserve">Disposable equipment and devices must be single use and must be disposed of in appropriate HD waste receptacles. </w:t>
      </w:r>
    </w:p>
    <w:p w14:paraId="278EF9CD" w14:textId="0EECEA3C" w:rsidR="00B9718F" w:rsidRPr="00F416FA" w:rsidRDefault="00B9718F" w:rsidP="00EA7EB7">
      <w:pPr>
        <w:pStyle w:val="ListParagraph"/>
        <w:numPr>
          <w:ilvl w:val="2"/>
          <w:numId w:val="1"/>
        </w:numPr>
      </w:pPr>
      <w:bookmarkStart w:id="0" w:name="_GoBack"/>
      <w:bookmarkEnd w:id="0"/>
      <w:r>
        <w:t>All HD waste must be disposed of in accordance with local, state, and federal laws</w:t>
      </w:r>
    </w:p>
    <w:p w14:paraId="00D8E80D" w14:textId="631C4E43" w:rsidR="00673FEA" w:rsidRDefault="00673FEA" w:rsidP="00BC1004">
      <w:pPr>
        <w:pStyle w:val="ListParagraph"/>
        <w:numPr>
          <w:ilvl w:val="1"/>
          <w:numId w:val="1"/>
        </w:numPr>
      </w:pPr>
      <w:r>
        <w:t xml:space="preserve">HD compounding </w:t>
      </w:r>
    </w:p>
    <w:p w14:paraId="18E1D5DB" w14:textId="4FF348A4" w:rsidR="00BC1004" w:rsidRDefault="00BC1004" w:rsidP="00673FEA">
      <w:pPr>
        <w:pStyle w:val="ListParagraph"/>
        <w:numPr>
          <w:ilvl w:val="2"/>
          <w:numId w:val="1"/>
        </w:numPr>
      </w:pPr>
      <w:r>
        <w:t xml:space="preserve">If a request for a HD compound is received, we </w:t>
      </w:r>
      <w:r w:rsidR="00FD3F53">
        <w:t>will</w:t>
      </w:r>
      <w:r>
        <w:t xml:space="preserve"> politely inform the patient/ patient care representative that we are unable to prepare the medication for them </w:t>
      </w:r>
    </w:p>
    <w:p w14:paraId="61F527E8" w14:textId="43368F6C" w:rsidR="00BC1004" w:rsidRDefault="00BC1004" w:rsidP="00673FEA">
      <w:pPr>
        <w:pStyle w:val="ListParagraph"/>
        <w:numPr>
          <w:ilvl w:val="2"/>
          <w:numId w:val="1"/>
        </w:numPr>
      </w:pPr>
      <w:r>
        <w:t xml:space="preserve">We may help the patient find an alternative pharmacy to use for their HD compounding needs </w:t>
      </w:r>
    </w:p>
    <w:p w14:paraId="3D606442" w14:textId="734DBCED" w:rsidR="00BC1004" w:rsidRDefault="00BC1004" w:rsidP="00BC1004">
      <w:pPr>
        <w:pStyle w:val="ListParagraph"/>
        <w:numPr>
          <w:ilvl w:val="2"/>
          <w:numId w:val="1"/>
        </w:numPr>
      </w:pPr>
      <w:r>
        <w:t>Check PCAB website for list of local and national PCAB accredited non-sterile</w:t>
      </w:r>
      <w:r w:rsidR="00183018">
        <w:t xml:space="preserve"> and/ or sterile</w:t>
      </w:r>
      <w:r>
        <w:t xml:space="preserve"> compounding pharmacies</w:t>
      </w:r>
    </w:p>
    <w:p w14:paraId="6F04B242" w14:textId="77777777" w:rsidR="00904167" w:rsidRPr="0084076E" w:rsidRDefault="00904167" w:rsidP="00904167">
      <w:pPr>
        <w:pStyle w:val="ListParagraph"/>
        <w:ind w:left="792"/>
        <w:rPr>
          <w:color w:val="FF0000"/>
        </w:rPr>
      </w:pPr>
    </w:p>
    <w:p w14:paraId="5818790E" w14:textId="0FC70D1C" w:rsidR="00CB7E8D" w:rsidRPr="00817547" w:rsidRDefault="00CB7E8D" w:rsidP="00CB7E8D">
      <w:pPr>
        <w:pStyle w:val="ListParagraph"/>
        <w:numPr>
          <w:ilvl w:val="0"/>
          <w:numId w:val="1"/>
        </w:numPr>
        <w:rPr>
          <w:b/>
          <w:bCs/>
        </w:rPr>
      </w:pPr>
      <w:r w:rsidRPr="00817547">
        <w:rPr>
          <w:b/>
          <w:bCs/>
        </w:rPr>
        <w:t xml:space="preserve">Training Requirements </w:t>
      </w:r>
    </w:p>
    <w:p w14:paraId="62E9868F" w14:textId="77777777" w:rsidR="003A7D05" w:rsidRDefault="006C1264" w:rsidP="006C1264">
      <w:pPr>
        <w:pStyle w:val="ListParagraph"/>
        <w:numPr>
          <w:ilvl w:val="1"/>
          <w:numId w:val="1"/>
        </w:numPr>
      </w:pPr>
      <w:r>
        <w:t>Personnel must be trained on this procedure</w:t>
      </w:r>
      <w:r w:rsidR="003A7D05">
        <w:t>:</w:t>
      </w:r>
    </w:p>
    <w:p w14:paraId="18B8F4D3" w14:textId="419C6EB5" w:rsidR="003A7D05" w:rsidRDefault="006C1264" w:rsidP="003A7D05">
      <w:pPr>
        <w:pStyle w:val="ListParagraph"/>
        <w:numPr>
          <w:ilvl w:val="2"/>
          <w:numId w:val="1"/>
        </w:numPr>
      </w:pPr>
      <w:r>
        <w:t xml:space="preserve"> </w:t>
      </w:r>
      <w:r w:rsidR="005916CA">
        <w:t>P</w:t>
      </w:r>
      <w:r>
        <w:t xml:space="preserve">rior to </w:t>
      </w:r>
      <w:r w:rsidR="00FD3F53">
        <w:t>dispensing HD</w:t>
      </w:r>
      <w:r>
        <w:t xml:space="preserve">, </w:t>
      </w:r>
    </w:p>
    <w:p w14:paraId="1170AD9E" w14:textId="538FE795" w:rsidR="003A7D05" w:rsidRDefault="005916CA" w:rsidP="003A7D05">
      <w:pPr>
        <w:pStyle w:val="ListParagraph"/>
        <w:numPr>
          <w:ilvl w:val="2"/>
          <w:numId w:val="1"/>
        </w:numPr>
      </w:pPr>
      <w:r>
        <w:t xml:space="preserve"> E</w:t>
      </w:r>
      <w:r w:rsidR="003A7D05">
        <w:t>very 12 months</w:t>
      </w:r>
      <w:r w:rsidR="006C1264">
        <w:t xml:space="preserve">, </w:t>
      </w:r>
    </w:p>
    <w:p w14:paraId="54A40760" w14:textId="6F3756CA" w:rsidR="003A7D05" w:rsidRDefault="005916CA" w:rsidP="003A7D05">
      <w:pPr>
        <w:pStyle w:val="ListParagraph"/>
        <w:numPr>
          <w:ilvl w:val="2"/>
          <w:numId w:val="1"/>
        </w:numPr>
      </w:pPr>
      <w:r>
        <w:t xml:space="preserve"> E</w:t>
      </w:r>
      <w:r w:rsidR="006C1264">
        <w:t xml:space="preserve">ach time there is a significant </w:t>
      </w:r>
      <w:r w:rsidR="003A7D05">
        <w:t xml:space="preserve">change to this procedure, </w:t>
      </w:r>
    </w:p>
    <w:p w14:paraId="315699F7" w14:textId="7F81781F" w:rsidR="003A7D05" w:rsidRDefault="005916CA" w:rsidP="003A7D05">
      <w:pPr>
        <w:pStyle w:val="ListParagraph"/>
        <w:numPr>
          <w:ilvl w:val="2"/>
          <w:numId w:val="1"/>
        </w:numPr>
      </w:pPr>
      <w:r>
        <w:t xml:space="preserve"> I</w:t>
      </w:r>
      <w:r w:rsidR="003A7D05">
        <w:t>n response to an accidental exposure of HD</w:t>
      </w:r>
      <w:r w:rsidR="0084076E">
        <w:t xml:space="preserve"> during </w:t>
      </w:r>
      <w:r w:rsidR="00FD3F53">
        <w:t>dispensing</w:t>
      </w:r>
      <w:r w:rsidR="00FE119D" w:rsidRPr="00FE119D">
        <w:t xml:space="preserve"> activities</w:t>
      </w:r>
      <w:r w:rsidR="003A7D05" w:rsidRPr="00FE119D">
        <w:t xml:space="preserve"> </w:t>
      </w:r>
      <w:r w:rsidR="0084076E">
        <w:t>that resulted in documented</w:t>
      </w:r>
      <w:r w:rsidR="003A7D05">
        <w:t xml:space="preserve"> changes in employee health, and</w:t>
      </w:r>
    </w:p>
    <w:p w14:paraId="624EB75F" w14:textId="2977E39D" w:rsidR="006C1264" w:rsidRDefault="005916CA" w:rsidP="003A7D05">
      <w:pPr>
        <w:pStyle w:val="ListParagraph"/>
        <w:numPr>
          <w:ilvl w:val="2"/>
          <w:numId w:val="1"/>
        </w:numPr>
      </w:pPr>
      <w:r>
        <w:t xml:space="preserve"> A</w:t>
      </w:r>
      <w:r w:rsidR="003A7D05">
        <w:t xml:space="preserve">ny other time deemed necessary by the </w:t>
      </w:r>
      <w:r w:rsidR="005B13D3">
        <w:t>D</w:t>
      </w:r>
      <w:r w:rsidR="003A7D05">
        <w:t xml:space="preserve">esignated </w:t>
      </w:r>
      <w:r w:rsidR="005B13D3">
        <w:t>P</w:t>
      </w:r>
      <w:r w:rsidR="003A7D05">
        <w:t xml:space="preserve">erson </w:t>
      </w:r>
    </w:p>
    <w:p w14:paraId="1B18D8ED" w14:textId="5D25E6E2" w:rsidR="00FA5C3E" w:rsidRDefault="00FA5C3E" w:rsidP="00FA5C3E">
      <w:pPr>
        <w:pStyle w:val="ListParagraph"/>
        <w:ind w:left="1224"/>
      </w:pPr>
    </w:p>
    <w:p w14:paraId="12175FCB" w14:textId="77777777" w:rsidR="00114647" w:rsidRDefault="00114647" w:rsidP="00FA5C3E">
      <w:pPr>
        <w:pStyle w:val="ListParagraph"/>
        <w:ind w:left="1224"/>
      </w:pPr>
    </w:p>
    <w:p w14:paraId="26F40DFA" w14:textId="724762D2" w:rsidR="00817547" w:rsidRPr="00817547" w:rsidRDefault="00817547" w:rsidP="00817547">
      <w:pPr>
        <w:pStyle w:val="ListParagraph"/>
        <w:numPr>
          <w:ilvl w:val="0"/>
          <w:numId w:val="1"/>
        </w:numPr>
        <w:rPr>
          <w:b/>
          <w:bCs/>
        </w:rPr>
      </w:pPr>
      <w:r w:rsidRPr="00817547">
        <w:rPr>
          <w:b/>
          <w:bCs/>
        </w:rPr>
        <w:t xml:space="preserve">Attachments </w:t>
      </w:r>
    </w:p>
    <w:p w14:paraId="74FBCE2C" w14:textId="1722E0D7" w:rsidR="00904167" w:rsidRDefault="00FE119D" w:rsidP="00904167">
      <w:pPr>
        <w:pStyle w:val="ListParagraph"/>
        <w:numPr>
          <w:ilvl w:val="1"/>
          <w:numId w:val="1"/>
        </w:numPr>
        <w:ind w:left="990" w:hanging="630"/>
      </w:pPr>
      <w:r w:rsidRPr="00FE119D">
        <w:t xml:space="preserve">N/A </w:t>
      </w:r>
    </w:p>
    <w:p w14:paraId="4830EE37" w14:textId="77777777" w:rsidR="00904167" w:rsidRPr="00904167" w:rsidRDefault="00904167" w:rsidP="00904167">
      <w:pPr>
        <w:pStyle w:val="ListParagraph"/>
        <w:ind w:left="990"/>
        <w:rPr>
          <w:color w:val="FF0000"/>
        </w:rPr>
      </w:pPr>
    </w:p>
    <w:p w14:paraId="45575CAD" w14:textId="5F5C4629" w:rsidR="00CB7E8D" w:rsidRPr="00817547" w:rsidRDefault="00CB7E8D" w:rsidP="00CB7E8D">
      <w:pPr>
        <w:pStyle w:val="ListParagraph"/>
        <w:numPr>
          <w:ilvl w:val="0"/>
          <w:numId w:val="1"/>
        </w:numPr>
        <w:rPr>
          <w:b/>
          <w:bCs/>
        </w:rPr>
      </w:pPr>
      <w:r w:rsidRPr="00817547">
        <w:rPr>
          <w:b/>
          <w:bCs/>
        </w:rPr>
        <w:lastRenderedPageBreak/>
        <w:t xml:space="preserve">History </w:t>
      </w:r>
    </w:p>
    <w:p w14:paraId="50113337" w14:textId="77777777" w:rsidR="003A7D05" w:rsidRDefault="003A7D05" w:rsidP="003A7D05">
      <w:pPr>
        <w:pStyle w:val="ListParagraph"/>
        <w:ind w:left="360"/>
      </w:pPr>
    </w:p>
    <w:tbl>
      <w:tblPr>
        <w:tblStyle w:val="TableGrid"/>
        <w:tblW w:w="0" w:type="auto"/>
        <w:tblInd w:w="360" w:type="dxa"/>
        <w:tblLook w:val="04A0" w:firstRow="1" w:lastRow="0" w:firstColumn="1" w:lastColumn="0" w:noHBand="0" w:noVBand="1"/>
      </w:tblPr>
      <w:tblGrid>
        <w:gridCol w:w="1615"/>
        <w:gridCol w:w="1890"/>
        <w:gridCol w:w="5485"/>
      </w:tblGrid>
      <w:tr w:rsidR="00BB63CD" w14:paraId="573974C9" w14:textId="77777777" w:rsidTr="00AC7841">
        <w:tc>
          <w:tcPr>
            <w:tcW w:w="8990" w:type="dxa"/>
            <w:gridSpan w:val="3"/>
          </w:tcPr>
          <w:p w14:paraId="0A576E91" w14:textId="73A7147D" w:rsidR="00BB63CD" w:rsidRDefault="00BB63CD" w:rsidP="00BB63CD">
            <w:pPr>
              <w:pStyle w:val="ListParagraph"/>
              <w:ind w:left="0"/>
            </w:pPr>
            <w:r>
              <w:t xml:space="preserve">SOP: </w:t>
            </w:r>
            <w:r w:rsidRPr="006C1264">
              <w:rPr>
                <w:i/>
                <w:iCs/>
                <w:color w:val="FF0000"/>
              </w:rPr>
              <w:t xml:space="preserve">XX.XX: </w:t>
            </w:r>
            <w:r w:rsidRPr="00CB7E8D">
              <w:t xml:space="preserve">- </w:t>
            </w:r>
            <w:r>
              <w:t>RETAIL – Hazardous Drug Dispensing</w:t>
            </w:r>
            <w:r w:rsidR="001D4B16">
              <w:t xml:space="preserve"> Revision History</w:t>
            </w:r>
          </w:p>
        </w:tc>
      </w:tr>
      <w:tr w:rsidR="003A7D05" w14:paraId="1CDD3561" w14:textId="77777777" w:rsidTr="003A7D05">
        <w:tc>
          <w:tcPr>
            <w:tcW w:w="1615" w:type="dxa"/>
          </w:tcPr>
          <w:p w14:paraId="52422121" w14:textId="0C1F9516" w:rsidR="003A7D05" w:rsidRDefault="003A7D05" w:rsidP="003A7D05">
            <w:pPr>
              <w:pStyle w:val="ListParagraph"/>
              <w:ind w:left="0"/>
              <w:jc w:val="center"/>
            </w:pPr>
            <w:r>
              <w:t>Date Approved</w:t>
            </w:r>
          </w:p>
        </w:tc>
        <w:tc>
          <w:tcPr>
            <w:tcW w:w="1890" w:type="dxa"/>
          </w:tcPr>
          <w:p w14:paraId="319A207D" w14:textId="2C461BFB" w:rsidR="003A7D05" w:rsidRDefault="003A7D05" w:rsidP="003A7D05">
            <w:pPr>
              <w:pStyle w:val="ListParagraph"/>
              <w:ind w:left="0"/>
              <w:jc w:val="center"/>
            </w:pPr>
            <w:r>
              <w:t>Version Number</w:t>
            </w:r>
          </w:p>
        </w:tc>
        <w:tc>
          <w:tcPr>
            <w:tcW w:w="5485" w:type="dxa"/>
          </w:tcPr>
          <w:p w14:paraId="4DFDCE39" w14:textId="05A9F6F7" w:rsidR="003A7D05" w:rsidRDefault="003A7D05" w:rsidP="003A7D05">
            <w:pPr>
              <w:pStyle w:val="ListParagraph"/>
              <w:ind w:left="0"/>
              <w:jc w:val="center"/>
            </w:pPr>
            <w:r>
              <w:t>Revision Summary</w:t>
            </w:r>
          </w:p>
        </w:tc>
      </w:tr>
      <w:tr w:rsidR="003A7D05" w14:paraId="2A0F2258" w14:textId="77777777" w:rsidTr="003A7D05">
        <w:tc>
          <w:tcPr>
            <w:tcW w:w="1615" w:type="dxa"/>
          </w:tcPr>
          <w:p w14:paraId="6D558774" w14:textId="6A6C75A0" w:rsidR="003A7D05" w:rsidRDefault="003A7D05" w:rsidP="003A7D05">
            <w:pPr>
              <w:pStyle w:val="ListParagraph"/>
              <w:ind w:left="0"/>
              <w:jc w:val="center"/>
            </w:pPr>
            <w:r w:rsidRPr="003A7D05">
              <w:rPr>
                <w:color w:val="FF0000"/>
              </w:rPr>
              <w:t>XX/XX/XXXX</w:t>
            </w:r>
          </w:p>
        </w:tc>
        <w:tc>
          <w:tcPr>
            <w:tcW w:w="1890" w:type="dxa"/>
          </w:tcPr>
          <w:p w14:paraId="15AA1731" w14:textId="1CA6AFD1" w:rsidR="003A7D05" w:rsidRDefault="003A7D05" w:rsidP="003A7D05">
            <w:pPr>
              <w:pStyle w:val="ListParagraph"/>
              <w:ind w:left="0"/>
              <w:jc w:val="center"/>
            </w:pPr>
            <w:r>
              <w:t>1</w:t>
            </w:r>
          </w:p>
        </w:tc>
        <w:tc>
          <w:tcPr>
            <w:tcW w:w="5485" w:type="dxa"/>
          </w:tcPr>
          <w:p w14:paraId="053A5658" w14:textId="35620326" w:rsidR="003A7D05" w:rsidRDefault="003A7D05" w:rsidP="003A7D05">
            <w:pPr>
              <w:pStyle w:val="ListParagraph"/>
              <w:ind w:left="0"/>
            </w:pPr>
            <w:r>
              <w:t xml:space="preserve">N/A – Origination </w:t>
            </w:r>
          </w:p>
        </w:tc>
      </w:tr>
      <w:tr w:rsidR="003A7D05" w14:paraId="0B23B543" w14:textId="77777777" w:rsidTr="003A7D05">
        <w:tc>
          <w:tcPr>
            <w:tcW w:w="1615" w:type="dxa"/>
          </w:tcPr>
          <w:p w14:paraId="21A56289" w14:textId="77777777" w:rsidR="003A7D05" w:rsidRDefault="003A7D05" w:rsidP="003A7D05">
            <w:pPr>
              <w:pStyle w:val="ListParagraph"/>
              <w:ind w:left="0"/>
              <w:jc w:val="center"/>
            </w:pPr>
          </w:p>
        </w:tc>
        <w:tc>
          <w:tcPr>
            <w:tcW w:w="1890" w:type="dxa"/>
          </w:tcPr>
          <w:p w14:paraId="33645328" w14:textId="77777777" w:rsidR="003A7D05" w:rsidRDefault="003A7D05" w:rsidP="003A7D05">
            <w:pPr>
              <w:pStyle w:val="ListParagraph"/>
              <w:ind w:left="0"/>
              <w:jc w:val="center"/>
            </w:pPr>
          </w:p>
        </w:tc>
        <w:tc>
          <w:tcPr>
            <w:tcW w:w="5485" w:type="dxa"/>
          </w:tcPr>
          <w:p w14:paraId="60C1F011" w14:textId="60EB067A" w:rsidR="003A7D05" w:rsidRDefault="003A7D05" w:rsidP="003A7D05">
            <w:pPr>
              <w:pStyle w:val="ListParagraph"/>
              <w:ind w:left="0"/>
            </w:pPr>
          </w:p>
        </w:tc>
      </w:tr>
    </w:tbl>
    <w:p w14:paraId="3235886D" w14:textId="77777777" w:rsidR="003A7D05" w:rsidRDefault="003A7D05" w:rsidP="003A7D05">
      <w:pPr>
        <w:pStyle w:val="ListParagraph"/>
        <w:ind w:left="360"/>
      </w:pPr>
    </w:p>
    <w:p w14:paraId="7C8DD256" w14:textId="1175E10D" w:rsidR="00817547" w:rsidRDefault="00817547" w:rsidP="00817547">
      <w:pPr>
        <w:pStyle w:val="ListParagraph"/>
        <w:ind w:left="360"/>
      </w:pPr>
    </w:p>
    <w:sectPr w:rsidR="00817547" w:rsidSect="00817547">
      <w:headerReference w:type="default" r:id="rId9"/>
      <w:footerReference w:type="default" r:id="rId10"/>
      <w:headerReference w:type="first" r:id="rId11"/>
      <w:footerReference w:type="first" r:id="rId12"/>
      <w:pgSz w:w="12240" w:h="15840"/>
      <w:pgMar w:top="1440" w:right="1440" w:bottom="1440" w:left="1440" w:header="36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FF4F9" w14:textId="77777777" w:rsidR="00C0505C" w:rsidRDefault="00C0505C" w:rsidP="00CB7E8D">
      <w:pPr>
        <w:spacing w:after="0" w:line="240" w:lineRule="auto"/>
      </w:pPr>
      <w:r>
        <w:separator/>
      </w:r>
    </w:p>
  </w:endnote>
  <w:endnote w:type="continuationSeparator" w:id="0">
    <w:p w14:paraId="6E8E30B2" w14:textId="77777777" w:rsidR="00C0505C" w:rsidRDefault="00C0505C"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1521154"/>
      <w:docPartObj>
        <w:docPartGallery w:val="Page Numbers (Bottom of Page)"/>
        <w:docPartUnique/>
      </w:docPartObj>
    </w:sdtPr>
    <w:sdtEndPr/>
    <w:sdtContent>
      <w:sdt>
        <w:sdtPr>
          <w:rPr>
            <w:sz w:val="20"/>
            <w:szCs w:val="20"/>
          </w:rPr>
          <w:id w:val="-1659455725"/>
          <w:docPartObj>
            <w:docPartGallery w:val="Page Numbers (Top of Page)"/>
            <w:docPartUnique/>
          </w:docPartObj>
        </w:sdtPr>
        <w:sdtEndPr/>
        <w:sdtContent>
          <w:p w14:paraId="2026C018" w14:textId="1CE70D83" w:rsidR="003A7D05" w:rsidRDefault="003A7D05">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20732118" w14:textId="77777777" w:rsidR="003A7D05" w:rsidRDefault="003A7D05">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0A1776">
              <w:rPr>
                <w:b/>
                <w:bCs/>
                <w:noProof/>
                <w:sz w:val="20"/>
                <w:szCs w:val="20"/>
              </w:rPr>
              <w:t>2</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0A1776">
              <w:rPr>
                <w:b/>
                <w:bCs/>
                <w:noProof/>
                <w:sz w:val="20"/>
                <w:szCs w:val="20"/>
              </w:rPr>
              <w:t>3</w:t>
            </w:r>
            <w:r w:rsidRPr="003A7D05">
              <w:rPr>
                <w:b/>
                <w:bCs/>
                <w:sz w:val="20"/>
                <w:szCs w:val="20"/>
              </w:rPr>
              <w:fldChar w:fldCharType="end"/>
            </w:r>
          </w:p>
          <w:p w14:paraId="207B6F83" w14:textId="0589880D" w:rsidR="003A7D05" w:rsidRPr="00DE6B01" w:rsidRDefault="003A7D05" w:rsidP="00DE6B01">
            <w:pPr>
              <w:pStyle w:val="Footer"/>
              <w:jc w:val="center"/>
              <w:rPr>
                <w:sz w:val="20"/>
                <w:szCs w:val="20"/>
              </w:rPr>
            </w:pPr>
            <w:r>
              <w:rPr>
                <w:b/>
                <w:bCs/>
                <w:sz w:val="20"/>
                <w:szCs w:val="20"/>
              </w:rPr>
              <w:t>Confidential</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1186980"/>
      <w:docPartObj>
        <w:docPartGallery w:val="Page Numbers (Top of Page)"/>
        <w:docPartUnique/>
      </w:docPartObj>
    </w:sdtPr>
    <w:sdtEndPr/>
    <w:sdtContent>
      <w:p w14:paraId="438A6B83" w14:textId="77777777" w:rsidR="00DE6B01" w:rsidRDefault="00DE6B01" w:rsidP="00DE6B01">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304B6884" w14:textId="77777777" w:rsidR="00DE6B01" w:rsidRDefault="00DE6B01" w:rsidP="00DE6B01">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0A1776">
          <w:rPr>
            <w:b/>
            <w:bCs/>
            <w:noProof/>
            <w:sz w:val="20"/>
            <w:szCs w:val="20"/>
          </w:rPr>
          <w:t>1</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0A1776">
          <w:rPr>
            <w:b/>
            <w:bCs/>
            <w:noProof/>
            <w:sz w:val="20"/>
            <w:szCs w:val="20"/>
          </w:rPr>
          <w:t>3</w:t>
        </w:r>
        <w:r w:rsidRPr="003A7D05">
          <w:rPr>
            <w:b/>
            <w:bCs/>
            <w:sz w:val="20"/>
            <w:szCs w:val="20"/>
          </w:rPr>
          <w:fldChar w:fldCharType="end"/>
        </w:r>
      </w:p>
      <w:p w14:paraId="35CFD8F2" w14:textId="12198DE0" w:rsidR="00DE6B01" w:rsidRPr="00DE6B01" w:rsidRDefault="00DE6B01" w:rsidP="00DE6B01">
        <w:pPr>
          <w:pStyle w:val="Footer"/>
          <w:jc w:val="center"/>
          <w:rPr>
            <w:sz w:val="20"/>
            <w:szCs w:val="20"/>
          </w:rPr>
        </w:pPr>
        <w:r>
          <w:rPr>
            <w:b/>
            <w:bCs/>
            <w:sz w:val="20"/>
            <w:szCs w:val="20"/>
          </w:rPr>
          <w:t>Confidential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1B92" w14:textId="77777777" w:rsidR="00C0505C" w:rsidRDefault="00C0505C" w:rsidP="00CB7E8D">
      <w:pPr>
        <w:spacing w:after="0" w:line="240" w:lineRule="auto"/>
      </w:pPr>
      <w:r>
        <w:separator/>
      </w:r>
    </w:p>
  </w:footnote>
  <w:footnote w:type="continuationSeparator" w:id="0">
    <w:p w14:paraId="1F4538A1" w14:textId="77777777" w:rsidR="00C0505C" w:rsidRDefault="00C0505C" w:rsidP="00CB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Look w:val="04A0" w:firstRow="1" w:lastRow="0" w:firstColumn="1" w:lastColumn="0" w:noHBand="0" w:noVBand="1"/>
    </w:tblPr>
    <w:tblGrid>
      <w:gridCol w:w="5400"/>
      <w:gridCol w:w="3950"/>
    </w:tblGrid>
    <w:tr w:rsidR="002E5EFA" w14:paraId="3F02805C" w14:textId="77777777" w:rsidTr="00552199">
      <w:tc>
        <w:tcPr>
          <w:tcW w:w="9350" w:type="dxa"/>
          <w:gridSpan w:val="2"/>
        </w:tcPr>
        <w:p w14:paraId="288986BB" w14:textId="77777777" w:rsidR="002E5EFA" w:rsidRPr="00817547" w:rsidRDefault="002E5EFA" w:rsidP="002E5EFA">
          <w:pPr>
            <w:pStyle w:val="Header"/>
            <w:rPr>
              <w:color w:val="FF0000"/>
            </w:rPr>
          </w:pPr>
          <w:r w:rsidRPr="00817547">
            <w:rPr>
              <w:color w:val="FF0000"/>
            </w:rPr>
            <w:t>Company Name</w:t>
          </w:r>
        </w:p>
      </w:tc>
    </w:tr>
    <w:tr w:rsidR="00BB63CD" w14:paraId="63D29C2C" w14:textId="77777777" w:rsidTr="00552199">
      <w:tc>
        <w:tcPr>
          <w:tcW w:w="5400" w:type="dxa"/>
        </w:tcPr>
        <w:p w14:paraId="5E032DC0" w14:textId="24C831DD" w:rsidR="00BB63CD" w:rsidRDefault="00BB63CD" w:rsidP="00BB63CD">
          <w:pPr>
            <w:pStyle w:val="Header"/>
          </w:pPr>
          <w:r>
            <w:t xml:space="preserve">SOP: </w:t>
          </w:r>
          <w:r w:rsidRPr="006C1264">
            <w:rPr>
              <w:i/>
              <w:iCs/>
              <w:color w:val="FF0000"/>
            </w:rPr>
            <w:t xml:space="preserve">XX.XX: </w:t>
          </w:r>
          <w:r w:rsidRPr="00CB7E8D">
            <w:t xml:space="preserve">- </w:t>
          </w:r>
          <w:r>
            <w:t>RETAIL – Hazardous Drug Dispensing</w:t>
          </w:r>
        </w:p>
      </w:tc>
      <w:tc>
        <w:tcPr>
          <w:tcW w:w="3950" w:type="dxa"/>
        </w:tcPr>
        <w:p w14:paraId="3AFF00E8" w14:textId="77777777" w:rsidR="00BB63CD" w:rsidRDefault="00BB63CD" w:rsidP="00BB63CD">
          <w:pPr>
            <w:pStyle w:val="Header"/>
          </w:pPr>
          <w:r>
            <w:t>Version: 1</w:t>
          </w:r>
        </w:p>
      </w:tc>
    </w:tr>
    <w:tr w:rsidR="00BB63CD" w14:paraId="469F64EF" w14:textId="77777777" w:rsidTr="00552199">
      <w:tc>
        <w:tcPr>
          <w:tcW w:w="5400" w:type="dxa"/>
        </w:tcPr>
        <w:p w14:paraId="21BE204C" w14:textId="77777777" w:rsidR="00BB63CD" w:rsidRDefault="00BB63CD" w:rsidP="00BB63CD">
          <w:pPr>
            <w:pStyle w:val="Header"/>
          </w:pPr>
          <w:r>
            <w:t xml:space="preserve">Date Approved: </w:t>
          </w:r>
          <w:r w:rsidRPr="006C1264">
            <w:rPr>
              <w:color w:val="FF0000"/>
            </w:rPr>
            <w:t>XX/XX/XXXX</w:t>
          </w:r>
        </w:p>
      </w:tc>
      <w:tc>
        <w:tcPr>
          <w:tcW w:w="3950" w:type="dxa"/>
        </w:tcPr>
        <w:p w14:paraId="15E9D50F" w14:textId="77777777" w:rsidR="00BB63CD" w:rsidRDefault="00BB63CD" w:rsidP="00BB63CD">
          <w:pPr>
            <w:pStyle w:val="Header"/>
          </w:pPr>
          <w:r>
            <w:t xml:space="preserve">Approved by: </w:t>
          </w:r>
          <w:r w:rsidRPr="006C1264">
            <w:rPr>
              <w:color w:val="FF0000"/>
            </w:rPr>
            <w:t>Name of Designated Person</w:t>
          </w:r>
        </w:p>
      </w:tc>
    </w:tr>
  </w:tbl>
  <w:p w14:paraId="5AFA8AC5" w14:textId="77777777" w:rsidR="003A7D05" w:rsidRDefault="003A7D05" w:rsidP="002E5E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4BE1" w14:textId="77777777" w:rsidR="00817547" w:rsidRPr="003A7D05" w:rsidRDefault="00817547" w:rsidP="00817547">
    <w:pPr>
      <w:pStyle w:val="Header"/>
      <w:rPr>
        <w:color w:val="FF0000"/>
      </w:rPr>
    </w:pPr>
    <w:r w:rsidRPr="003A7D05">
      <w:rPr>
        <w:color w:val="FF0000"/>
      </w:rPr>
      <w:t xml:space="preserve">Insert </w:t>
    </w:r>
    <w:r>
      <w:rPr>
        <w:color w:val="FF0000"/>
      </w:rPr>
      <w:t xml:space="preserve">company </w:t>
    </w:r>
    <w:r w:rsidRPr="003A7D05">
      <w:rPr>
        <w:color w:val="FF0000"/>
      </w:rPr>
      <w:t>logo</w:t>
    </w:r>
    <w:r>
      <w:rPr>
        <w:color w:val="FF0000"/>
      </w:rPr>
      <w:t xml:space="preserve"> if desired </w:t>
    </w:r>
    <w:r w:rsidRPr="003A7D05">
      <w:rPr>
        <w:color w:val="FF0000"/>
      </w:rPr>
      <w:t xml:space="preserve"> </w:t>
    </w:r>
  </w:p>
  <w:p w14:paraId="5F63ABB6" w14:textId="77777777" w:rsidR="00817547" w:rsidRDefault="00817547" w:rsidP="00817547">
    <w:pPr>
      <w:pStyle w:val="Header"/>
    </w:pPr>
  </w:p>
  <w:tbl>
    <w:tblPr>
      <w:tblStyle w:val="TableGrid"/>
      <w:tblW w:w="0" w:type="auto"/>
      <w:tblInd w:w="-5" w:type="dxa"/>
      <w:tblLook w:val="04A0" w:firstRow="1" w:lastRow="0" w:firstColumn="1" w:lastColumn="0" w:noHBand="0" w:noVBand="1"/>
    </w:tblPr>
    <w:tblGrid>
      <w:gridCol w:w="5130"/>
      <w:gridCol w:w="4220"/>
    </w:tblGrid>
    <w:tr w:rsidR="00817547" w14:paraId="7F4912DE" w14:textId="77777777" w:rsidTr="00ED0ED0">
      <w:tc>
        <w:tcPr>
          <w:tcW w:w="9350" w:type="dxa"/>
          <w:gridSpan w:val="2"/>
        </w:tcPr>
        <w:p w14:paraId="0DBF4F12" w14:textId="77777777" w:rsidR="00817547" w:rsidRPr="00817547" w:rsidRDefault="00817547" w:rsidP="00817547">
          <w:pPr>
            <w:pStyle w:val="Header"/>
            <w:rPr>
              <w:color w:val="FF0000"/>
            </w:rPr>
          </w:pPr>
          <w:bookmarkStart w:id="1" w:name="_Hlk14016163"/>
          <w:r w:rsidRPr="00817547">
            <w:rPr>
              <w:color w:val="FF0000"/>
            </w:rPr>
            <w:t>Company Name</w:t>
          </w:r>
        </w:p>
      </w:tc>
    </w:tr>
    <w:tr w:rsidR="00817547" w14:paraId="2E00280E" w14:textId="77777777" w:rsidTr="00453A0A">
      <w:tc>
        <w:tcPr>
          <w:tcW w:w="5130" w:type="dxa"/>
        </w:tcPr>
        <w:p w14:paraId="3165CABB" w14:textId="4A0FB104" w:rsidR="00817547" w:rsidRDefault="00817547" w:rsidP="00817547">
          <w:pPr>
            <w:pStyle w:val="Header"/>
          </w:pPr>
          <w:r>
            <w:t xml:space="preserve">SOP: </w:t>
          </w:r>
          <w:r w:rsidRPr="00BB63CD">
            <w:rPr>
              <w:i/>
              <w:iCs/>
              <w:color w:val="FF0000"/>
            </w:rPr>
            <w:t>XX.XX</w:t>
          </w:r>
          <w:r w:rsidRPr="006C1264">
            <w:rPr>
              <w:i/>
              <w:iCs/>
              <w:color w:val="FF0000"/>
            </w:rPr>
            <w:t xml:space="preserve">: </w:t>
          </w:r>
          <w:r w:rsidRPr="00CB7E8D">
            <w:t xml:space="preserve">- </w:t>
          </w:r>
          <w:r w:rsidR="00BB63CD">
            <w:t>RETAIL – Hazardous Drug</w:t>
          </w:r>
          <w:r w:rsidR="00BC1004">
            <w:t xml:space="preserve"> </w:t>
          </w:r>
          <w:r w:rsidR="00673FEA">
            <w:t>Dispensing</w:t>
          </w:r>
        </w:p>
      </w:tc>
      <w:tc>
        <w:tcPr>
          <w:tcW w:w="4220" w:type="dxa"/>
        </w:tcPr>
        <w:p w14:paraId="291F39FB" w14:textId="77777777" w:rsidR="00817547" w:rsidRDefault="00817547" w:rsidP="00817547">
          <w:pPr>
            <w:pStyle w:val="Header"/>
          </w:pPr>
          <w:r>
            <w:t>Version: 1</w:t>
          </w:r>
        </w:p>
      </w:tc>
    </w:tr>
    <w:tr w:rsidR="00817547" w14:paraId="40B82CF9" w14:textId="77777777" w:rsidTr="00453A0A">
      <w:tc>
        <w:tcPr>
          <w:tcW w:w="5130" w:type="dxa"/>
        </w:tcPr>
        <w:p w14:paraId="570D5AB4" w14:textId="77777777" w:rsidR="00817547" w:rsidRDefault="00817547" w:rsidP="00817547">
          <w:pPr>
            <w:pStyle w:val="Header"/>
          </w:pPr>
          <w:r>
            <w:t xml:space="preserve">Date Approved: </w:t>
          </w:r>
          <w:r w:rsidRPr="006C1264">
            <w:rPr>
              <w:color w:val="FF0000"/>
            </w:rPr>
            <w:t>XX/XX/XXXX</w:t>
          </w:r>
        </w:p>
      </w:tc>
      <w:tc>
        <w:tcPr>
          <w:tcW w:w="4220" w:type="dxa"/>
        </w:tcPr>
        <w:p w14:paraId="365D9F61" w14:textId="77777777" w:rsidR="00817547" w:rsidRDefault="00817547" w:rsidP="00817547">
          <w:pPr>
            <w:pStyle w:val="Header"/>
          </w:pPr>
          <w:r>
            <w:t xml:space="preserve">Approved by: </w:t>
          </w:r>
          <w:r w:rsidRPr="006C1264">
            <w:rPr>
              <w:color w:val="FF0000"/>
            </w:rPr>
            <w:t>Name of Designated Person</w:t>
          </w:r>
        </w:p>
      </w:tc>
    </w:tr>
    <w:bookmarkEnd w:id="1"/>
  </w:tbl>
  <w:p w14:paraId="02B80738" w14:textId="77777777" w:rsidR="00817547" w:rsidRDefault="0081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84"/>
    <w:multiLevelType w:val="multilevel"/>
    <w:tmpl w:val="32601B1E"/>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D"/>
    <w:rsid w:val="000A1776"/>
    <w:rsid w:val="000C614F"/>
    <w:rsid w:val="000F6917"/>
    <w:rsid w:val="00114647"/>
    <w:rsid w:val="00163518"/>
    <w:rsid w:val="00183018"/>
    <w:rsid w:val="001A0501"/>
    <w:rsid w:val="001D4B16"/>
    <w:rsid w:val="001E310F"/>
    <w:rsid w:val="002B76DD"/>
    <w:rsid w:val="002E5EFA"/>
    <w:rsid w:val="00315E7D"/>
    <w:rsid w:val="003251DD"/>
    <w:rsid w:val="00372E75"/>
    <w:rsid w:val="003A7D05"/>
    <w:rsid w:val="003F33FC"/>
    <w:rsid w:val="003F741F"/>
    <w:rsid w:val="00432253"/>
    <w:rsid w:val="00450591"/>
    <w:rsid w:val="00453A0A"/>
    <w:rsid w:val="004E5657"/>
    <w:rsid w:val="00500B15"/>
    <w:rsid w:val="005916CA"/>
    <w:rsid w:val="005A1A44"/>
    <w:rsid w:val="005B13D3"/>
    <w:rsid w:val="005F1E7E"/>
    <w:rsid w:val="00600F17"/>
    <w:rsid w:val="0063615C"/>
    <w:rsid w:val="00646934"/>
    <w:rsid w:val="00654FFE"/>
    <w:rsid w:val="00673FEA"/>
    <w:rsid w:val="00684AC7"/>
    <w:rsid w:val="006968BB"/>
    <w:rsid w:val="006A21BD"/>
    <w:rsid w:val="006A4DF3"/>
    <w:rsid w:val="006B25A4"/>
    <w:rsid w:val="006C1264"/>
    <w:rsid w:val="006E42A5"/>
    <w:rsid w:val="006F1FDA"/>
    <w:rsid w:val="007420D9"/>
    <w:rsid w:val="007C2F43"/>
    <w:rsid w:val="00817547"/>
    <w:rsid w:val="0084076E"/>
    <w:rsid w:val="008837AD"/>
    <w:rsid w:val="00890839"/>
    <w:rsid w:val="008A6151"/>
    <w:rsid w:val="00904167"/>
    <w:rsid w:val="00954C4B"/>
    <w:rsid w:val="009D0D7B"/>
    <w:rsid w:val="009F177C"/>
    <w:rsid w:val="00A02D8C"/>
    <w:rsid w:val="00A04F9B"/>
    <w:rsid w:val="00A05565"/>
    <w:rsid w:val="00A336FF"/>
    <w:rsid w:val="00A87551"/>
    <w:rsid w:val="00AA30C1"/>
    <w:rsid w:val="00B163D3"/>
    <w:rsid w:val="00B9718F"/>
    <w:rsid w:val="00BB63CD"/>
    <w:rsid w:val="00BC1004"/>
    <w:rsid w:val="00BC3540"/>
    <w:rsid w:val="00BD3383"/>
    <w:rsid w:val="00BF4736"/>
    <w:rsid w:val="00C007C0"/>
    <w:rsid w:val="00C0505C"/>
    <w:rsid w:val="00C320B3"/>
    <w:rsid w:val="00CB7E8D"/>
    <w:rsid w:val="00CC4914"/>
    <w:rsid w:val="00CD1F6A"/>
    <w:rsid w:val="00CE66A0"/>
    <w:rsid w:val="00CF3475"/>
    <w:rsid w:val="00D037E7"/>
    <w:rsid w:val="00D318BA"/>
    <w:rsid w:val="00DE6B01"/>
    <w:rsid w:val="00E315CC"/>
    <w:rsid w:val="00E33C82"/>
    <w:rsid w:val="00E87512"/>
    <w:rsid w:val="00EA7EB7"/>
    <w:rsid w:val="00F043C6"/>
    <w:rsid w:val="00F10DD6"/>
    <w:rsid w:val="00F37745"/>
    <w:rsid w:val="00F416FA"/>
    <w:rsid w:val="00F440A6"/>
    <w:rsid w:val="00F648E8"/>
    <w:rsid w:val="00FA5C3E"/>
    <w:rsid w:val="00FB6026"/>
    <w:rsid w:val="00FC6F90"/>
    <w:rsid w:val="00FD3F53"/>
    <w:rsid w:val="00FD56BF"/>
    <w:rsid w:val="00FE1016"/>
    <w:rsid w:val="00FE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F6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F6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73AD-0F51-4562-BA2F-C781E1A0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Ogle</dc:creator>
  <cp:keywords/>
  <dc:description/>
  <cp:lastModifiedBy>Susan Kurina</cp:lastModifiedBy>
  <cp:revision>26</cp:revision>
  <cp:lastPrinted>2019-09-09T15:09:00Z</cp:lastPrinted>
  <dcterms:created xsi:type="dcterms:W3CDTF">2019-07-28T19:04:00Z</dcterms:created>
  <dcterms:modified xsi:type="dcterms:W3CDTF">2019-11-04T15:42:00Z</dcterms:modified>
</cp:coreProperties>
</file>