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4B8F0" w14:textId="7EFF716C" w:rsidR="00CB7E8D" w:rsidRPr="00817547" w:rsidRDefault="003A7D05" w:rsidP="00CB7E8D">
      <w:pPr>
        <w:pStyle w:val="ListParagraph"/>
        <w:numPr>
          <w:ilvl w:val="0"/>
          <w:numId w:val="1"/>
        </w:numPr>
        <w:rPr>
          <w:b/>
          <w:bCs/>
        </w:rPr>
      </w:pPr>
      <w:bookmarkStart w:id="0" w:name="_GoBack"/>
      <w:bookmarkEnd w:id="0"/>
      <w:r w:rsidRPr="00817547">
        <w:rPr>
          <w:b/>
          <w:bCs/>
        </w:rPr>
        <w:t>P</w:t>
      </w:r>
      <w:r w:rsidR="00CB7E8D" w:rsidRPr="00817547">
        <w:rPr>
          <w:b/>
          <w:bCs/>
        </w:rPr>
        <w:t xml:space="preserve">urpose </w:t>
      </w:r>
    </w:p>
    <w:p w14:paraId="68F004CE" w14:textId="2A005EA0" w:rsidR="00CB7E8D" w:rsidRDefault="00CB7E8D" w:rsidP="00CB7E8D">
      <w:pPr>
        <w:pStyle w:val="ListParagraph"/>
        <w:numPr>
          <w:ilvl w:val="1"/>
          <w:numId w:val="1"/>
        </w:numPr>
      </w:pPr>
      <w:r>
        <w:t xml:space="preserve">The purpose of this SOP is to establish minimum safety standards and requirements </w:t>
      </w:r>
      <w:r w:rsidR="00BF4736">
        <w:t>environmental and safety controls</w:t>
      </w:r>
      <w:r w:rsidR="00FD56BF" w:rsidRPr="00FD56BF">
        <w:t xml:space="preserve"> used</w:t>
      </w:r>
      <w:r w:rsidR="00FD56BF">
        <w:rPr>
          <w:color w:val="FF0000"/>
        </w:rPr>
        <w:t xml:space="preserve"> </w:t>
      </w:r>
      <w:r w:rsidR="00FD56BF">
        <w:t>in</w:t>
      </w:r>
      <w:r w:rsidR="006F1FDA">
        <w:t xml:space="preserve"> non-sterile</w:t>
      </w:r>
      <w:r w:rsidR="00FD56BF">
        <w:t xml:space="preserve"> HD </w:t>
      </w:r>
      <w:r w:rsidR="006F1FDA">
        <w:t>compounding</w:t>
      </w:r>
      <w:r w:rsidRPr="0084076E">
        <w:rPr>
          <w:color w:val="FF0000"/>
        </w:rPr>
        <w:t xml:space="preserve"> </w:t>
      </w:r>
    </w:p>
    <w:p w14:paraId="3C913225" w14:textId="77777777" w:rsidR="00904167" w:rsidRDefault="00904167" w:rsidP="00904167">
      <w:pPr>
        <w:pStyle w:val="ListParagraph"/>
        <w:ind w:left="792"/>
      </w:pPr>
    </w:p>
    <w:p w14:paraId="3BB00630" w14:textId="15ED524B" w:rsidR="00CB7E8D" w:rsidRPr="00817547" w:rsidRDefault="00CB7E8D" w:rsidP="00CB7E8D">
      <w:pPr>
        <w:pStyle w:val="ListParagraph"/>
        <w:numPr>
          <w:ilvl w:val="0"/>
          <w:numId w:val="1"/>
        </w:numPr>
        <w:rPr>
          <w:b/>
          <w:bCs/>
        </w:rPr>
      </w:pPr>
      <w:r w:rsidRPr="00817547">
        <w:rPr>
          <w:b/>
          <w:bCs/>
        </w:rPr>
        <w:t xml:space="preserve">Responsibility </w:t>
      </w:r>
    </w:p>
    <w:p w14:paraId="4C7ACD9A" w14:textId="21301697"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 xml:space="preserve">erson to ensure this procedure meets local, state, and federal regulations as required </w:t>
      </w:r>
    </w:p>
    <w:p w14:paraId="1B69A9F6" w14:textId="066A073A" w:rsidR="00CB7E8D" w:rsidRDefault="00CB7E8D" w:rsidP="00CB7E8D">
      <w:pPr>
        <w:pStyle w:val="ListParagraph"/>
        <w:numPr>
          <w:ilvl w:val="1"/>
          <w:numId w:val="1"/>
        </w:numPr>
      </w:pPr>
      <w:r>
        <w:t xml:space="preserve">It is the responsibility of the </w:t>
      </w:r>
      <w:r w:rsidR="005B13D3">
        <w:t>D</w:t>
      </w:r>
      <w:r>
        <w:t xml:space="preserve">esignated </w:t>
      </w:r>
      <w:r w:rsidR="005B13D3">
        <w:t>P</w:t>
      </w:r>
      <w:r>
        <w:t>erson to ensure all staff</w:t>
      </w:r>
      <w:r w:rsidR="006F1FDA">
        <w:t xml:space="preserve"> who</w:t>
      </w:r>
      <w:r>
        <w:t xml:space="preserve"> </w:t>
      </w:r>
      <w:r w:rsidR="006F1FDA" w:rsidRPr="006F1FDA">
        <w:t>engage in or oversee non-sterile compounding activities</w:t>
      </w:r>
      <w:r w:rsidR="004E5657" w:rsidRPr="006F1FDA">
        <w:t xml:space="preserve"> </w:t>
      </w:r>
      <w:r>
        <w:t>are trained</w:t>
      </w:r>
      <w:r w:rsidR="006F1FDA">
        <w:t xml:space="preserve"> on</w:t>
      </w:r>
      <w:r>
        <w:t xml:space="preserve"> and </w:t>
      </w:r>
      <w:r w:rsidR="00372E75">
        <w:t>adhere to</w:t>
      </w:r>
      <w:r>
        <w:t xml:space="preserve"> this SOP</w:t>
      </w:r>
    </w:p>
    <w:p w14:paraId="3897BB60" w14:textId="77777777" w:rsidR="00904167" w:rsidRDefault="00904167" w:rsidP="00904167">
      <w:pPr>
        <w:pStyle w:val="ListParagraph"/>
        <w:ind w:left="792"/>
      </w:pPr>
    </w:p>
    <w:p w14:paraId="17FCFA52" w14:textId="28B44241" w:rsidR="00CB7E8D" w:rsidRPr="00817547" w:rsidRDefault="00CB7E8D" w:rsidP="00CB7E8D">
      <w:pPr>
        <w:pStyle w:val="ListParagraph"/>
        <w:numPr>
          <w:ilvl w:val="0"/>
          <w:numId w:val="1"/>
        </w:numPr>
        <w:rPr>
          <w:b/>
          <w:bCs/>
        </w:rPr>
      </w:pPr>
      <w:r w:rsidRPr="00817547">
        <w:rPr>
          <w:b/>
          <w:bCs/>
        </w:rPr>
        <w:t xml:space="preserve">Scope </w:t>
      </w:r>
    </w:p>
    <w:p w14:paraId="265E864A" w14:textId="00FB9CC9" w:rsidR="00CB7E8D" w:rsidRDefault="00CB7E8D" w:rsidP="00CB7E8D">
      <w:pPr>
        <w:pStyle w:val="ListParagraph"/>
        <w:numPr>
          <w:ilvl w:val="1"/>
          <w:numId w:val="1"/>
        </w:numPr>
      </w:pPr>
      <w:r>
        <w:t>This SOP applies to all personnel who</w:t>
      </w:r>
      <w:r w:rsidR="00E33C82">
        <w:rPr>
          <w:color w:val="FF0000"/>
        </w:rPr>
        <w:t xml:space="preserve"> </w:t>
      </w:r>
      <w:r w:rsidR="006F1FDA" w:rsidRPr="006F1FDA">
        <w:t>engage in or oversee non-sterile compounding activities</w:t>
      </w:r>
    </w:p>
    <w:p w14:paraId="74BEE456" w14:textId="77777777" w:rsidR="00904167" w:rsidRDefault="00904167" w:rsidP="00904167">
      <w:pPr>
        <w:pStyle w:val="ListParagraph"/>
        <w:ind w:left="792"/>
      </w:pPr>
    </w:p>
    <w:p w14:paraId="3ECD057A" w14:textId="39174CF2" w:rsidR="00CB7E8D" w:rsidRPr="00817547" w:rsidRDefault="00CB7E8D" w:rsidP="00CB7E8D">
      <w:pPr>
        <w:pStyle w:val="ListParagraph"/>
        <w:numPr>
          <w:ilvl w:val="0"/>
          <w:numId w:val="1"/>
        </w:numPr>
        <w:rPr>
          <w:b/>
          <w:bCs/>
        </w:rPr>
      </w:pPr>
      <w:r w:rsidRPr="00817547">
        <w:rPr>
          <w:b/>
          <w:bCs/>
        </w:rPr>
        <w:t xml:space="preserve">References </w:t>
      </w:r>
    </w:p>
    <w:p w14:paraId="4DEFAC57" w14:textId="5A4AA5AF" w:rsidR="00CB7E8D" w:rsidRDefault="00CB7E8D" w:rsidP="00CB7E8D">
      <w:pPr>
        <w:pStyle w:val="ListParagraph"/>
        <w:numPr>
          <w:ilvl w:val="1"/>
          <w:numId w:val="1"/>
        </w:numPr>
      </w:pPr>
      <w:r>
        <w:t xml:space="preserve">USP General Chapter &lt;800&gt; – </w:t>
      </w:r>
      <w:r w:rsidRPr="00A05565">
        <w:rPr>
          <w:i/>
          <w:iCs/>
        </w:rPr>
        <w:t>Hazardous Drugs – Handling in Healthcare Settings</w:t>
      </w:r>
      <w:r>
        <w:t xml:space="preserve">, published in the May 31, 2019 USP Committee Revision Bulletin  </w:t>
      </w:r>
    </w:p>
    <w:p w14:paraId="7CC320E2" w14:textId="77777777" w:rsidR="00904167" w:rsidRDefault="00904167" w:rsidP="00904167">
      <w:pPr>
        <w:pStyle w:val="ListParagraph"/>
        <w:ind w:left="792"/>
      </w:pPr>
    </w:p>
    <w:p w14:paraId="098FF648" w14:textId="26768594" w:rsidR="00CB7E8D" w:rsidRPr="00817547" w:rsidRDefault="00CB7E8D" w:rsidP="00CB7E8D">
      <w:pPr>
        <w:pStyle w:val="ListParagraph"/>
        <w:numPr>
          <w:ilvl w:val="0"/>
          <w:numId w:val="1"/>
        </w:numPr>
        <w:rPr>
          <w:b/>
          <w:bCs/>
        </w:rPr>
      </w:pPr>
      <w:r w:rsidRPr="00817547">
        <w:rPr>
          <w:b/>
          <w:bCs/>
        </w:rPr>
        <w:t xml:space="preserve">Acronyms &amp; Definitions </w:t>
      </w:r>
    </w:p>
    <w:p w14:paraId="68C568E5" w14:textId="659297B2" w:rsidR="00163518" w:rsidRDefault="00163518" w:rsidP="00FB6026">
      <w:pPr>
        <w:pStyle w:val="ListParagraph"/>
        <w:numPr>
          <w:ilvl w:val="1"/>
          <w:numId w:val="1"/>
        </w:numPr>
      </w:pPr>
      <w:r>
        <w:t xml:space="preserve">BSC – Biological Safety Cabinet </w:t>
      </w:r>
      <w:r w:rsidR="00B163D3">
        <w:t>– a</w:t>
      </w:r>
      <w:r w:rsidR="00B163D3" w:rsidRPr="00B163D3">
        <w:t xml:space="preserve"> ventilated cabinet often used for preparation of hazardous drugs. These cabinets are divided into three general classes (Class I, Class II, and Class III)</w:t>
      </w:r>
    </w:p>
    <w:p w14:paraId="49B2A5A4" w14:textId="43D26FF7" w:rsidR="00163518" w:rsidRDefault="00163518" w:rsidP="00FB6026">
      <w:pPr>
        <w:pStyle w:val="ListParagraph"/>
        <w:numPr>
          <w:ilvl w:val="1"/>
          <w:numId w:val="1"/>
        </w:numPr>
      </w:pPr>
      <w:r>
        <w:t xml:space="preserve">CACI – Compounding Aseptic Containment Isolator </w:t>
      </w:r>
      <w:r w:rsidR="00890839">
        <w:t>–</w:t>
      </w:r>
      <w:r>
        <w:t xml:space="preserve"> </w:t>
      </w:r>
      <w:r w:rsidR="00890839">
        <w:t xml:space="preserve">a </w:t>
      </w:r>
      <w:r w:rsidRPr="00163518">
        <w:t>specific type of CAI that is designed for the compounding of sterile HDs. The CACI is designed to provide worker protection from exposure to undesirable levels of airborne drugs throughout the compounding and material transfer processes and to provide an aseptic environment with unidirectional airflow for compounding sterile preparations</w:t>
      </w:r>
    </w:p>
    <w:p w14:paraId="4A7923FC" w14:textId="71A88363" w:rsidR="00FB6026" w:rsidRDefault="00FB6026" w:rsidP="00FB6026">
      <w:pPr>
        <w:pStyle w:val="ListParagraph"/>
        <w:numPr>
          <w:ilvl w:val="1"/>
          <w:numId w:val="1"/>
        </w:numPr>
      </w:pPr>
      <w:r>
        <w:t xml:space="preserve">C-PEC – </w:t>
      </w:r>
      <w:r w:rsidR="00163518">
        <w:t>C</w:t>
      </w:r>
      <w:r>
        <w:t xml:space="preserve">ontainment </w:t>
      </w:r>
      <w:r w:rsidR="00163518">
        <w:t>P</w:t>
      </w:r>
      <w:r>
        <w:t xml:space="preserve">rimary </w:t>
      </w:r>
      <w:r w:rsidR="00163518">
        <w:t>E</w:t>
      </w:r>
      <w:r>
        <w:t xml:space="preserve">ngineering </w:t>
      </w:r>
      <w:r w:rsidR="00163518">
        <w:t>C</w:t>
      </w:r>
      <w:r>
        <w:t>ontrol - a</w:t>
      </w:r>
      <w:r w:rsidRPr="00FC6F90">
        <w:t xml:space="preserve"> ventilated device designed and operated to minimize worker and environmental exposures to HDs by controlling emissions of airborne contaminants</w:t>
      </w:r>
    </w:p>
    <w:p w14:paraId="246659EF" w14:textId="7B1E2A92" w:rsidR="00FB6026" w:rsidRDefault="00FB6026" w:rsidP="00FB6026">
      <w:pPr>
        <w:pStyle w:val="ListParagraph"/>
        <w:numPr>
          <w:ilvl w:val="1"/>
          <w:numId w:val="1"/>
        </w:numPr>
      </w:pPr>
      <w:r>
        <w:t xml:space="preserve">C-SEC – </w:t>
      </w:r>
      <w:r w:rsidR="00163518">
        <w:t>Containment S</w:t>
      </w:r>
      <w:r>
        <w:t xml:space="preserve">econdary </w:t>
      </w:r>
      <w:r w:rsidR="00163518">
        <w:t>E</w:t>
      </w:r>
      <w:r>
        <w:t xml:space="preserve">ngineering </w:t>
      </w:r>
      <w:r w:rsidR="00163518">
        <w:t>C</w:t>
      </w:r>
      <w:r>
        <w:t xml:space="preserve">ontrol - </w:t>
      </w:r>
      <w:proofErr w:type="gramStart"/>
      <w:r>
        <w:t>a</w:t>
      </w:r>
      <w:r w:rsidRPr="00FC6F90">
        <w:t xml:space="preserve"> with</w:t>
      </w:r>
      <w:proofErr w:type="gramEnd"/>
      <w:r w:rsidRPr="00FC6F90">
        <w:t xml:space="preserve"> fixed walls in which the C-PEC is placed. It incorporates specific design and operational parameters required to contain the potential hazard within the compounding room</w:t>
      </w:r>
    </w:p>
    <w:p w14:paraId="3A4F1A5F" w14:textId="24C9ED7C" w:rsidR="00163518" w:rsidRDefault="00163518" w:rsidP="006C1264">
      <w:pPr>
        <w:pStyle w:val="ListParagraph"/>
        <w:numPr>
          <w:ilvl w:val="1"/>
          <w:numId w:val="1"/>
        </w:numPr>
      </w:pPr>
      <w:r>
        <w:t>CVE – Containment Ventilated Enclosure – a</w:t>
      </w:r>
      <w:r w:rsidRPr="00163518">
        <w:t xml:space="preserve"> full or partial enclosure that uses ventilation principles to capture, contain, and remove airborne contaminants through HEPA filtration and prevent their release into the work environment</w:t>
      </w:r>
    </w:p>
    <w:p w14:paraId="278BEF93" w14:textId="2283EE06" w:rsidR="006C1264" w:rsidRDefault="006C1264" w:rsidP="006C1264">
      <w:pPr>
        <w:pStyle w:val="ListParagraph"/>
        <w:numPr>
          <w:ilvl w:val="1"/>
          <w:numId w:val="1"/>
        </w:numPr>
      </w:pPr>
      <w:r>
        <w:t xml:space="preserve">HD – Hazardous Drugs -  The National Institute for Occupations Safety and Health (NIOSH) considers a drug to be hazardous if it exhibits one or more of the following properties in humans or animals; carcinogenicity, teratogenicity or developmental toxicity, reproductive toxicity, organ toxicity at low doses, genotoxicity, or structure and toxicity profiles of new drugs that mimic existing hazardous drugs </w:t>
      </w:r>
    </w:p>
    <w:p w14:paraId="6F559A10" w14:textId="60DD3FCA" w:rsidR="00CB7E8D" w:rsidRDefault="00CB7E8D" w:rsidP="00CB7E8D">
      <w:pPr>
        <w:pStyle w:val="ListParagraph"/>
        <w:numPr>
          <w:ilvl w:val="1"/>
          <w:numId w:val="1"/>
        </w:numPr>
      </w:pPr>
      <w:r>
        <w:t>USP – United States Pharmacopeia</w:t>
      </w:r>
    </w:p>
    <w:p w14:paraId="22E50E36" w14:textId="2040149D" w:rsidR="006C1264" w:rsidRDefault="006C1264" w:rsidP="00CB7E8D">
      <w:pPr>
        <w:pStyle w:val="ListParagraph"/>
        <w:numPr>
          <w:ilvl w:val="1"/>
          <w:numId w:val="1"/>
        </w:numPr>
      </w:pPr>
      <w:r>
        <w:lastRenderedPageBreak/>
        <w:t xml:space="preserve">Designated Person – A trained and qualified person designated by </w:t>
      </w:r>
      <w:r w:rsidR="00E33C82" w:rsidRPr="00E33C82">
        <w:rPr>
          <w:color w:val="FF0000"/>
        </w:rPr>
        <w:t>[</w:t>
      </w:r>
      <w:r w:rsidR="00E33C82">
        <w:rPr>
          <w:color w:val="FF0000"/>
        </w:rPr>
        <w:t xml:space="preserve">company] </w:t>
      </w:r>
      <w:r w:rsidRPr="006C1264">
        <w:t xml:space="preserve">to be </w:t>
      </w:r>
      <w:r>
        <w:t xml:space="preserve">responsible for developing and implementing appropriate HD procedures, overseeing entity compliance with local, state and federal HD regulations, ensuring personnel HD competency, and ensuring environmental control of HD storage and handling areas </w:t>
      </w:r>
    </w:p>
    <w:p w14:paraId="52D074B4" w14:textId="77777777" w:rsidR="00904167" w:rsidRPr="00372E75" w:rsidRDefault="00904167" w:rsidP="00904167">
      <w:pPr>
        <w:pStyle w:val="ListParagraph"/>
        <w:ind w:left="792"/>
        <w:rPr>
          <w:color w:val="FF0000"/>
        </w:rPr>
      </w:pPr>
    </w:p>
    <w:p w14:paraId="1AABCA03" w14:textId="7C2329ED" w:rsidR="00CB7E8D" w:rsidRPr="00817547" w:rsidRDefault="00CB7E8D" w:rsidP="00CB7E8D">
      <w:pPr>
        <w:pStyle w:val="ListParagraph"/>
        <w:numPr>
          <w:ilvl w:val="0"/>
          <w:numId w:val="1"/>
        </w:numPr>
        <w:rPr>
          <w:b/>
          <w:bCs/>
        </w:rPr>
      </w:pPr>
      <w:r w:rsidRPr="00817547">
        <w:rPr>
          <w:b/>
          <w:bCs/>
        </w:rPr>
        <w:t xml:space="preserve">Frequency </w:t>
      </w:r>
    </w:p>
    <w:p w14:paraId="6C0C60C1" w14:textId="4491DA30" w:rsidR="006C1264" w:rsidRPr="00904167" w:rsidRDefault="006C1264" w:rsidP="006C1264">
      <w:pPr>
        <w:pStyle w:val="ListParagraph"/>
        <w:numPr>
          <w:ilvl w:val="1"/>
          <w:numId w:val="1"/>
        </w:numPr>
      </w:pPr>
      <w:r>
        <w:t xml:space="preserve">This procedure must be followed </w:t>
      </w:r>
      <w:r w:rsidR="00E33C82">
        <w:t xml:space="preserve">for all </w:t>
      </w:r>
      <w:r w:rsidR="00600F17">
        <w:t xml:space="preserve">non-sterile </w:t>
      </w:r>
      <w:r w:rsidR="00FE1016">
        <w:t>HD</w:t>
      </w:r>
      <w:r w:rsidR="00600F17">
        <w:t xml:space="preserve"> compounding</w:t>
      </w:r>
      <w:r w:rsidR="00A05565">
        <w:t xml:space="preserve"> activities performed</w:t>
      </w:r>
      <w:r w:rsidR="00600F17">
        <w:t xml:space="preserve"> </w:t>
      </w:r>
      <w:r w:rsidR="00E33C82">
        <w:t xml:space="preserve">at </w:t>
      </w:r>
      <w:r w:rsidR="00E33C82" w:rsidRPr="00E33C82">
        <w:rPr>
          <w:color w:val="FF0000"/>
        </w:rPr>
        <w:t>[</w:t>
      </w:r>
      <w:r w:rsidR="00E33C82">
        <w:rPr>
          <w:color w:val="FF0000"/>
        </w:rPr>
        <w:t>company]</w:t>
      </w:r>
    </w:p>
    <w:p w14:paraId="57DE133C" w14:textId="77777777" w:rsidR="00904167" w:rsidRDefault="00904167" w:rsidP="00904167">
      <w:pPr>
        <w:pStyle w:val="ListParagraph"/>
        <w:ind w:left="792"/>
      </w:pPr>
    </w:p>
    <w:p w14:paraId="267D4561" w14:textId="0D5B38C5" w:rsidR="00CB7E8D" w:rsidRPr="00817547" w:rsidRDefault="00CB7E8D" w:rsidP="00CB7E8D">
      <w:pPr>
        <w:pStyle w:val="ListParagraph"/>
        <w:numPr>
          <w:ilvl w:val="0"/>
          <w:numId w:val="1"/>
        </w:numPr>
        <w:rPr>
          <w:b/>
          <w:bCs/>
        </w:rPr>
      </w:pPr>
      <w:r w:rsidRPr="00817547">
        <w:rPr>
          <w:b/>
          <w:bCs/>
        </w:rPr>
        <w:t>General Information</w:t>
      </w:r>
    </w:p>
    <w:p w14:paraId="7F9D9A08" w14:textId="5C025C65" w:rsidR="006C1264" w:rsidRPr="006A4DF3" w:rsidRDefault="00A05565" w:rsidP="006C1264">
      <w:pPr>
        <w:pStyle w:val="ListParagraph"/>
        <w:numPr>
          <w:ilvl w:val="1"/>
          <w:numId w:val="1"/>
        </w:numPr>
      </w:pPr>
      <w:r w:rsidRPr="002E5EFA">
        <w:t>In addition to the USP &lt;800&gt; standards</w:t>
      </w:r>
      <w:r w:rsidR="002E5EFA">
        <w:t xml:space="preserve"> for HD</w:t>
      </w:r>
      <w:r w:rsidRPr="002E5EFA">
        <w:t xml:space="preserve">, all non-sterile HD compounding activities must </w:t>
      </w:r>
      <w:r w:rsidR="002E5EFA">
        <w:t>be performed</w:t>
      </w:r>
      <w:r w:rsidRPr="002E5EFA">
        <w:t xml:space="preserve"> in compliance with USP &lt;795&gt; </w:t>
      </w:r>
      <w:r w:rsidRPr="002E5EFA">
        <w:rPr>
          <w:i/>
          <w:iCs/>
        </w:rPr>
        <w:t>Pharmaceutical Compounding – Nonsterile Preparations</w:t>
      </w:r>
    </w:p>
    <w:p w14:paraId="01112753" w14:textId="455B37E4" w:rsidR="006A4DF3" w:rsidRPr="006A4DF3" w:rsidRDefault="006A4DF3" w:rsidP="006A4DF3">
      <w:pPr>
        <w:pStyle w:val="ListParagraph"/>
        <w:numPr>
          <w:ilvl w:val="1"/>
          <w:numId w:val="1"/>
        </w:numPr>
      </w:pPr>
      <w:r w:rsidRPr="006A4DF3">
        <w:t>Signage must be</w:t>
      </w:r>
      <w:r>
        <w:t xml:space="preserve"> </w:t>
      </w:r>
      <w:r w:rsidR="007420D9" w:rsidRPr="006A4DF3">
        <w:t>displayed</w:t>
      </w:r>
      <w:r w:rsidR="007420D9">
        <w:t xml:space="preserve"> </w:t>
      </w:r>
      <w:r>
        <w:t>outside of non-sterile HD compounding</w:t>
      </w:r>
      <w:r w:rsidRPr="006A4DF3">
        <w:t xml:space="preserve"> </w:t>
      </w:r>
      <w:r>
        <w:t xml:space="preserve">C-SEC </w:t>
      </w:r>
      <w:r w:rsidRPr="006A4DF3">
        <w:t xml:space="preserve">declaring </w:t>
      </w:r>
      <w:r>
        <w:t>presence of HD</w:t>
      </w:r>
    </w:p>
    <w:p w14:paraId="619F74AB" w14:textId="6BB9CB99" w:rsidR="006A4DF3" w:rsidRPr="002E5EFA" w:rsidRDefault="00CE66A0" w:rsidP="00CE66A0">
      <w:pPr>
        <w:pStyle w:val="ListParagraph"/>
        <w:numPr>
          <w:ilvl w:val="1"/>
          <w:numId w:val="1"/>
        </w:numPr>
      </w:pPr>
      <w:r w:rsidRPr="00705873">
        <w:t>Access to</w:t>
      </w:r>
      <w:r>
        <w:t xml:space="preserve"> non-sterile HD compounding C-SEC</w:t>
      </w:r>
      <w:r w:rsidRPr="00705873">
        <w:t xml:space="preserve"> must be limited to authorized, trained individuals</w:t>
      </w:r>
    </w:p>
    <w:p w14:paraId="51958007" w14:textId="77777777" w:rsidR="00904167" w:rsidRPr="0084076E" w:rsidRDefault="00904167" w:rsidP="00904167">
      <w:pPr>
        <w:pStyle w:val="ListParagraph"/>
        <w:ind w:left="792"/>
        <w:rPr>
          <w:color w:val="FF0000"/>
        </w:rPr>
      </w:pPr>
    </w:p>
    <w:p w14:paraId="2B4ADC5E" w14:textId="78A57FF0" w:rsidR="00A04F9B" w:rsidRPr="00A04F9B" w:rsidRDefault="00CB7E8D" w:rsidP="00A04F9B">
      <w:pPr>
        <w:pStyle w:val="ListParagraph"/>
        <w:numPr>
          <w:ilvl w:val="0"/>
          <w:numId w:val="1"/>
        </w:numPr>
        <w:rPr>
          <w:b/>
          <w:bCs/>
        </w:rPr>
      </w:pPr>
      <w:r w:rsidRPr="00817547">
        <w:rPr>
          <w:b/>
          <w:bCs/>
        </w:rPr>
        <w:t xml:space="preserve">Procedure </w:t>
      </w:r>
    </w:p>
    <w:p w14:paraId="3000349E" w14:textId="3FBC064F" w:rsidR="003A7D05" w:rsidRDefault="00A05565" w:rsidP="003A7D05">
      <w:pPr>
        <w:pStyle w:val="ListParagraph"/>
        <w:numPr>
          <w:ilvl w:val="1"/>
          <w:numId w:val="1"/>
        </w:numPr>
      </w:pPr>
      <w:r w:rsidRPr="002E5EFA">
        <w:t xml:space="preserve">Non-sterile HD compounding must occur in an appropriate C-PEC within a C-SEC </w:t>
      </w:r>
    </w:p>
    <w:p w14:paraId="2A2CAD33" w14:textId="35A91E35" w:rsidR="002E5EFA" w:rsidRDefault="005F1E7E" w:rsidP="002E5EFA">
      <w:pPr>
        <w:pStyle w:val="ListParagraph"/>
        <w:numPr>
          <w:ilvl w:val="2"/>
          <w:numId w:val="1"/>
        </w:numPr>
      </w:pPr>
      <w:r>
        <w:t xml:space="preserve">Note: </w:t>
      </w:r>
      <w:r w:rsidR="002E5EFA">
        <w:t xml:space="preserve">C-PEC is not required if manipulations are limited to </w:t>
      </w:r>
      <w:r w:rsidR="007420D9">
        <w:t>dispensing only activities of</w:t>
      </w:r>
      <w:r w:rsidR="002E5EFA">
        <w:t xml:space="preserve"> final dosage forms (i.e. counting</w:t>
      </w:r>
      <w:r w:rsidR="007420D9">
        <w:t xml:space="preserve"> and</w:t>
      </w:r>
      <w:r w:rsidR="00AA30C1">
        <w:t xml:space="preserve"> </w:t>
      </w:r>
      <w:r w:rsidR="002E5EFA">
        <w:t>repacking) that do not result in particle, aerosol, or gas production</w:t>
      </w:r>
    </w:p>
    <w:p w14:paraId="30A9CA4B" w14:textId="0AA7D543" w:rsidR="005F1E7E" w:rsidRDefault="005F1E7E" w:rsidP="002E5EFA">
      <w:pPr>
        <w:pStyle w:val="ListParagraph"/>
        <w:numPr>
          <w:ilvl w:val="1"/>
          <w:numId w:val="1"/>
        </w:numPr>
      </w:pPr>
      <w:r>
        <w:t>C-PEC Requirements</w:t>
      </w:r>
    </w:p>
    <w:p w14:paraId="35972E0A" w14:textId="36212589" w:rsidR="002E5EFA" w:rsidRDefault="00450591" w:rsidP="005F1E7E">
      <w:pPr>
        <w:pStyle w:val="ListParagraph"/>
        <w:numPr>
          <w:ilvl w:val="2"/>
          <w:numId w:val="1"/>
        </w:numPr>
      </w:pPr>
      <w:r>
        <w:t xml:space="preserve">C-PEC used for non-sterile HD compounding must be externally vented (preferred) or have redundant HEPA filters, in series. </w:t>
      </w:r>
    </w:p>
    <w:p w14:paraId="001F4722" w14:textId="5D64046D" w:rsidR="00450591" w:rsidRDefault="00450591" w:rsidP="005F1E7E">
      <w:pPr>
        <w:pStyle w:val="ListParagraph"/>
        <w:numPr>
          <w:ilvl w:val="3"/>
          <w:numId w:val="1"/>
        </w:numPr>
        <w:ind w:left="1800" w:hanging="720"/>
      </w:pPr>
      <w:r>
        <w:t>Appropriate C-PECs for non-sterile HD compounding include CVEs, Class I or Class II BSC and CACIs</w:t>
      </w:r>
    </w:p>
    <w:p w14:paraId="610AB56B" w14:textId="76AA0C78" w:rsidR="002B76DD" w:rsidRDefault="002B76DD" w:rsidP="002B76DD">
      <w:pPr>
        <w:pStyle w:val="ListParagraph"/>
        <w:numPr>
          <w:ilvl w:val="4"/>
          <w:numId w:val="1"/>
        </w:numPr>
        <w:ind w:left="2340" w:hanging="900"/>
      </w:pPr>
      <w:r>
        <w:t>Best practice: a</w:t>
      </w:r>
      <w:r w:rsidRPr="002B76DD">
        <w:t xml:space="preserve"> plastic-backed preparation mat should be placed on the work surface of the C-PEC. The mat should be changed immediately if a spill occurs and regularly during use and should be discarded at the end of daily compounding activit</w:t>
      </w:r>
      <w:r w:rsidR="00646934">
        <w:t>ies</w:t>
      </w:r>
    </w:p>
    <w:p w14:paraId="283E7C74" w14:textId="19BB5AB0" w:rsidR="005F1E7E" w:rsidRDefault="005F1E7E" w:rsidP="005F1E7E">
      <w:pPr>
        <w:pStyle w:val="ListParagraph"/>
        <w:numPr>
          <w:ilvl w:val="3"/>
          <w:numId w:val="1"/>
        </w:numPr>
        <w:ind w:left="1800" w:hanging="720"/>
      </w:pPr>
      <w:r>
        <w:t>C-PEC must operate continuously if it is used to supply some or all of the negative pressure</w:t>
      </w:r>
    </w:p>
    <w:p w14:paraId="6DC27D99" w14:textId="13F661A0" w:rsidR="005F1E7E" w:rsidRDefault="005F1E7E" w:rsidP="005F1E7E">
      <w:pPr>
        <w:pStyle w:val="ListParagraph"/>
        <w:numPr>
          <w:ilvl w:val="3"/>
          <w:numId w:val="1"/>
        </w:numPr>
        <w:ind w:left="1800" w:hanging="720"/>
      </w:pPr>
      <w:r>
        <w:t>In the event of a power failure or other disruptions to power, non-sterile compounding activities in C-PEC must be stopped, power restored, the C-PEC must be allowed to run for the manufacturer’s stated recovery time</w:t>
      </w:r>
      <w:r w:rsidR="00646934">
        <w:t>. The C-PEC must be</w:t>
      </w:r>
      <w:r>
        <w:t xml:space="preserve"> deactivated, decontaminated, and cleaned prior to resuming compounding activities in that C-PEC </w:t>
      </w:r>
    </w:p>
    <w:p w14:paraId="7E3892BC" w14:textId="36952BE4" w:rsidR="008837AD" w:rsidRPr="002E5EFA" w:rsidRDefault="008837AD" w:rsidP="008837AD">
      <w:pPr>
        <w:pStyle w:val="ListParagraph"/>
        <w:numPr>
          <w:ilvl w:val="2"/>
          <w:numId w:val="1"/>
        </w:numPr>
      </w:pPr>
      <w:r>
        <w:t xml:space="preserve">C-PECs shall be operated and maintained in accordance with manufacturer specification </w:t>
      </w:r>
    </w:p>
    <w:p w14:paraId="5565644A" w14:textId="13E1A0AD" w:rsidR="005F1E7E" w:rsidRDefault="005F1E7E" w:rsidP="005F1E7E">
      <w:pPr>
        <w:pStyle w:val="ListParagraph"/>
        <w:numPr>
          <w:ilvl w:val="1"/>
          <w:numId w:val="1"/>
        </w:numPr>
      </w:pPr>
      <w:r>
        <w:t xml:space="preserve"> C-SEC Requirements </w:t>
      </w:r>
    </w:p>
    <w:p w14:paraId="51DDC5DE" w14:textId="5A56F996" w:rsidR="001E310F" w:rsidRDefault="001E310F" w:rsidP="001E310F">
      <w:pPr>
        <w:pStyle w:val="ListParagraph"/>
        <w:numPr>
          <w:ilvl w:val="2"/>
          <w:numId w:val="1"/>
        </w:numPr>
      </w:pPr>
      <w:r>
        <w:t xml:space="preserve">A non-sterile </w:t>
      </w:r>
      <w:r w:rsidR="00CF3475">
        <w:t>HD compounding room must:</w:t>
      </w:r>
    </w:p>
    <w:p w14:paraId="7682DE11" w14:textId="13D0B7B6" w:rsidR="00CF3475" w:rsidRDefault="00CF3475" w:rsidP="00CF3475">
      <w:pPr>
        <w:pStyle w:val="ListParagraph"/>
        <w:numPr>
          <w:ilvl w:val="3"/>
          <w:numId w:val="1"/>
        </w:numPr>
        <w:ind w:left="1800" w:hanging="720"/>
      </w:pPr>
      <w:r>
        <w:t xml:space="preserve">Be physically separated (i.e. walls) from other preparation areas </w:t>
      </w:r>
    </w:p>
    <w:p w14:paraId="52F274E2" w14:textId="1FD2399C" w:rsidR="00CF3475" w:rsidRDefault="00CF3475" w:rsidP="00CF3475">
      <w:pPr>
        <w:pStyle w:val="ListParagraph"/>
        <w:numPr>
          <w:ilvl w:val="3"/>
          <w:numId w:val="1"/>
        </w:numPr>
        <w:ind w:left="1800" w:hanging="720"/>
      </w:pPr>
      <w:r>
        <w:t xml:space="preserve">Be externally vented </w:t>
      </w:r>
    </w:p>
    <w:p w14:paraId="2F605D29" w14:textId="7F5B570E" w:rsidR="00CF3475" w:rsidRDefault="00CF3475" w:rsidP="00CF3475">
      <w:pPr>
        <w:pStyle w:val="ListParagraph"/>
        <w:numPr>
          <w:ilvl w:val="3"/>
          <w:numId w:val="1"/>
        </w:numPr>
        <w:ind w:left="1800" w:hanging="720"/>
      </w:pPr>
      <w:r>
        <w:lastRenderedPageBreak/>
        <w:t>Maintain between -0.01 and -0.03 negative pressure relative to adjacent are</w:t>
      </w:r>
      <w:r w:rsidR="00E20800">
        <w:t>a</w:t>
      </w:r>
      <w:r>
        <w:t>s</w:t>
      </w:r>
    </w:p>
    <w:p w14:paraId="2D015999" w14:textId="7EA41C9A" w:rsidR="00CF3475" w:rsidRDefault="00CF3475" w:rsidP="00CF3475">
      <w:pPr>
        <w:pStyle w:val="ListParagraph"/>
        <w:numPr>
          <w:ilvl w:val="3"/>
          <w:numId w:val="1"/>
        </w:numPr>
        <w:ind w:left="1800" w:hanging="720"/>
      </w:pPr>
      <w:r>
        <w:t>Maintain greater than or equal to 12 ACPH</w:t>
      </w:r>
    </w:p>
    <w:p w14:paraId="7B0C1410" w14:textId="75494D86" w:rsidR="005F1E7E" w:rsidRDefault="001E310F" w:rsidP="005F1E7E">
      <w:pPr>
        <w:pStyle w:val="ListParagraph"/>
        <w:numPr>
          <w:ilvl w:val="2"/>
          <w:numId w:val="1"/>
        </w:numPr>
      </w:pPr>
      <w:r>
        <w:t xml:space="preserve">All </w:t>
      </w:r>
      <w:r w:rsidRPr="001E310F">
        <w:t>surfaces of ceilings, walls, floors, fixtures, shelving, counters, and cabinets in the non</w:t>
      </w:r>
      <w:r>
        <w:t>-</w:t>
      </w:r>
      <w:r w:rsidRPr="001E310F">
        <w:t xml:space="preserve">sterile compounding </w:t>
      </w:r>
      <w:r>
        <w:t>HD C-SEC</w:t>
      </w:r>
      <w:r w:rsidRPr="001E310F">
        <w:t xml:space="preserve"> must be smooth, impervious, free from cracks and crevices, and non-shedding</w:t>
      </w:r>
      <w:r>
        <w:t xml:space="preserve"> </w:t>
      </w:r>
    </w:p>
    <w:p w14:paraId="6F557671" w14:textId="62317374" w:rsidR="00904167" w:rsidRDefault="002B76DD" w:rsidP="00F416FA">
      <w:pPr>
        <w:pStyle w:val="ListParagraph"/>
        <w:numPr>
          <w:ilvl w:val="2"/>
          <w:numId w:val="1"/>
        </w:numPr>
      </w:pPr>
      <w:r w:rsidRPr="002B76DD">
        <w:t>Disposable or clean equipment for compounding (such as mortars and pestles, and spatulas) must be dedicated for use with HDs</w:t>
      </w:r>
    </w:p>
    <w:p w14:paraId="1E270887" w14:textId="0952E173" w:rsidR="00DE448E" w:rsidRDefault="00DE448E" w:rsidP="00F416FA">
      <w:pPr>
        <w:pStyle w:val="ListParagraph"/>
        <w:numPr>
          <w:ilvl w:val="2"/>
          <w:numId w:val="1"/>
        </w:numPr>
      </w:pPr>
      <w:r w:rsidRPr="00DE448E">
        <w:t>All areas where HDs are handled and all reusable equipment and devices must be deactivated, decontaminated, and cleane</w:t>
      </w:r>
      <w:r>
        <w:t>d</w:t>
      </w:r>
    </w:p>
    <w:p w14:paraId="11AEF070" w14:textId="65C063A0" w:rsidR="00AA30C1" w:rsidRDefault="00A02D8C" w:rsidP="00F416FA">
      <w:pPr>
        <w:pStyle w:val="ListParagraph"/>
        <w:numPr>
          <w:ilvl w:val="2"/>
          <w:numId w:val="1"/>
        </w:numPr>
      </w:pPr>
      <w:r>
        <w:t xml:space="preserve"> Disposable equipment and devi</w:t>
      </w:r>
      <w:r w:rsidR="00FE119D">
        <w:t>ces</w:t>
      </w:r>
      <w:r>
        <w:t xml:space="preserve"> must be single use and must be disposed of in appropriate HD waste receptacles. HD waste disposal must occur in compliance will all local, state, and federal regulations</w:t>
      </w:r>
    </w:p>
    <w:p w14:paraId="20BAD53B" w14:textId="723C0E1B" w:rsidR="00FE119D" w:rsidRDefault="00FE119D" w:rsidP="00FE119D">
      <w:pPr>
        <w:pStyle w:val="ListParagraph"/>
        <w:numPr>
          <w:ilvl w:val="1"/>
          <w:numId w:val="1"/>
        </w:numPr>
      </w:pPr>
      <w:r>
        <w:t>Appropriate PPE must be worn during all non-sterile HD compounding activities</w:t>
      </w:r>
    </w:p>
    <w:p w14:paraId="04F622C4" w14:textId="7CFAAAF1" w:rsidR="00FE119D" w:rsidRPr="00F416FA" w:rsidRDefault="00FE119D" w:rsidP="00FE119D">
      <w:pPr>
        <w:pStyle w:val="ListParagraph"/>
        <w:numPr>
          <w:ilvl w:val="2"/>
          <w:numId w:val="1"/>
        </w:numPr>
      </w:pPr>
      <w:r>
        <w:t xml:space="preserve">Refer to SOP </w:t>
      </w:r>
      <w:r w:rsidRPr="00FE119D">
        <w:rPr>
          <w:color w:val="FF0000"/>
        </w:rPr>
        <w:t xml:space="preserve">XX.XX </w:t>
      </w:r>
      <w:r>
        <w:t xml:space="preserve">Hazardous Drugs; </w:t>
      </w:r>
      <w:r w:rsidR="003F33FC">
        <w:t xml:space="preserve">Hand Hygiene &amp; </w:t>
      </w:r>
      <w:r>
        <w:t>Personal Protective Equipment</w:t>
      </w:r>
    </w:p>
    <w:p w14:paraId="6F04B242" w14:textId="77777777" w:rsidR="00904167" w:rsidRPr="0084076E" w:rsidRDefault="00904167" w:rsidP="00904167">
      <w:pPr>
        <w:pStyle w:val="ListParagraph"/>
        <w:ind w:left="792"/>
        <w:rPr>
          <w:color w:val="FF0000"/>
        </w:rPr>
      </w:pPr>
    </w:p>
    <w:p w14:paraId="5818790E" w14:textId="0FC70D1C" w:rsidR="00CB7E8D" w:rsidRPr="00817547" w:rsidRDefault="00CB7E8D" w:rsidP="00CB7E8D">
      <w:pPr>
        <w:pStyle w:val="ListParagraph"/>
        <w:numPr>
          <w:ilvl w:val="0"/>
          <w:numId w:val="1"/>
        </w:numPr>
        <w:rPr>
          <w:b/>
          <w:bCs/>
        </w:rPr>
      </w:pPr>
      <w:r w:rsidRPr="00817547">
        <w:rPr>
          <w:b/>
          <w:bCs/>
        </w:rPr>
        <w:t xml:space="preserve">Training Requirements </w:t>
      </w:r>
    </w:p>
    <w:p w14:paraId="62E9868F" w14:textId="77777777" w:rsidR="003A7D05" w:rsidRDefault="006C1264" w:rsidP="006C1264">
      <w:pPr>
        <w:pStyle w:val="ListParagraph"/>
        <w:numPr>
          <w:ilvl w:val="1"/>
          <w:numId w:val="1"/>
        </w:numPr>
      </w:pPr>
      <w:r>
        <w:t>Personnel must be trained on this procedure</w:t>
      </w:r>
      <w:r w:rsidR="003A7D05">
        <w:t>:</w:t>
      </w:r>
    </w:p>
    <w:p w14:paraId="18B8F4D3" w14:textId="5C1ECF5D" w:rsidR="003A7D05" w:rsidRDefault="006C1264" w:rsidP="003A7D05">
      <w:pPr>
        <w:pStyle w:val="ListParagraph"/>
        <w:numPr>
          <w:ilvl w:val="2"/>
          <w:numId w:val="1"/>
        </w:numPr>
      </w:pPr>
      <w:r>
        <w:t xml:space="preserve"> </w:t>
      </w:r>
      <w:r w:rsidR="005916CA">
        <w:t>P</w:t>
      </w:r>
      <w:r>
        <w:t xml:space="preserve">rior to </w:t>
      </w:r>
      <w:r w:rsidR="00FE119D" w:rsidRPr="00FE119D">
        <w:t>non-sterile</w:t>
      </w:r>
      <w:r w:rsidRPr="00FE119D">
        <w:t xml:space="preserve"> </w:t>
      </w:r>
      <w:r>
        <w:t>HD</w:t>
      </w:r>
      <w:r w:rsidR="00FE119D">
        <w:t xml:space="preserve"> compounding</w:t>
      </w:r>
      <w:r>
        <w:t xml:space="preserve">, </w:t>
      </w:r>
    </w:p>
    <w:p w14:paraId="1170AD9E" w14:textId="538FE795" w:rsidR="003A7D05" w:rsidRDefault="005916CA" w:rsidP="003A7D05">
      <w:pPr>
        <w:pStyle w:val="ListParagraph"/>
        <w:numPr>
          <w:ilvl w:val="2"/>
          <w:numId w:val="1"/>
        </w:numPr>
      </w:pPr>
      <w:r>
        <w:t xml:space="preserve"> E</w:t>
      </w:r>
      <w:r w:rsidR="003A7D05">
        <w:t>very 12 months</w:t>
      </w:r>
      <w:r w:rsidR="006C1264">
        <w:t xml:space="preserve">, </w:t>
      </w:r>
    </w:p>
    <w:p w14:paraId="54A40760" w14:textId="6F3756CA" w:rsidR="003A7D05" w:rsidRDefault="005916CA" w:rsidP="003A7D05">
      <w:pPr>
        <w:pStyle w:val="ListParagraph"/>
        <w:numPr>
          <w:ilvl w:val="2"/>
          <w:numId w:val="1"/>
        </w:numPr>
      </w:pPr>
      <w:r>
        <w:t xml:space="preserve"> E</w:t>
      </w:r>
      <w:r w:rsidR="006C1264">
        <w:t xml:space="preserve">ach time there is a significant </w:t>
      </w:r>
      <w:r w:rsidR="003A7D05">
        <w:t xml:space="preserve">change to this procedure, </w:t>
      </w:r>
    </w:p>
    <w:p w14:paraId="315699F7" w14:textId="0B70FC81" w:rsidR="003A7D05" w:rsidRDefault="005916CA" w:rsidP="003A7D05">
      <w:pPr>
        <w:pStyle w:val="ListParagraph"/>
        <w:numPr>
          <w:ilvl w:val="2"/>
          <w:numId w:val="1"/>
        </w:numPr>
      </w:pPr>
      <w:r>
        <w:t xml:space="preserve"> I</w:t>
      </w:r>
      <w:r w:rsidR="003A7D05">
        <w:t>n response to an accidental exposure of HD</w:t>
      </w:r>
      <w:r w:rsidR="0084076E">
        <w:t xml:space="preserve"> during </w:t>
      </w:r>
      <w:r w:rsidR="00FE119D" w:rsidRPr="00FE119D">
        <w:t>non-sterile HD compounding activities</w:t>
      </w:r>
      <w:r w:rsidR="003A7D05" w:rsidRPr="00FE119D">
        <w:t xml:space="preserve"> </w:t>
      </w:r>
      <w:r w:rsidR="0084076E">
        <w:t>that resulted in documented</w:t>
      </w:r>
      <w:r w:rsidR="003A7D05">
        <w:t xml:space="preserve"> changes in employee health, and</w:t>
      </w:r>
    </w:p>
    <w:p w14:paraId="624EB75F" w14:textId="2977E39D" w:rsidR="006C1264" w:rsidRDefault="005916CA" w:rsidP="003A7D05">
      <w:pPr>
        <w:pStyle w:val="ListParagraph"/>
        <w:numPr>
          <w:ilvl w:val="2"/>
          <w:numId w:val="1"/>
        </w:numPr>
      </w:pPr>
      <w:r>
        <w:t xml:space="preserve"> A</w:t>
      </w:r>
      <w:r w:rsidR="003A7D05">
        <w:t xml:space="preserve">ny other time deemed necessary by the </w:t>
      </w:r>
      <w:r w:rsidR="005B13D3">
        <w:t>D</w:t>
      </w:r>
      <w:r w:rsidR="003A7D05">
        <w:t xml:space="preserve">esignated </w:t>
      </w:r>
      <w:r w:rsidR="005B13D3">
        <w:t>P</w:t>
      </w:r>
      <w:r w:rsidR="003A7D05">
        <w:t xml:space="preserve">erson </w:t>
      </w:r>
    </w:p>
    <w:p w14:paraId="1B18D8ED" w14:textId="77777777" w:rsidR="00FA5C3E" w:rsidRDefault="00FA5C3E" w:rsidP="00FA5C3E">
      <w:pPr>
        <w:pStyle w:val="ListParagraph"/>
        <w:ind w:left="1224"/>
      </w:pPr>
    </w:p>
    <w:p w14:paraId="26F40DFA" w14:textId="724762D2" w:rsidR="00817547" w:rsidRPr="00817547" w:rsidRDefault="00817547" w:rsidP="00817547">
      <w:pPr>
        <w:pStyle w:val="ListParagraph"/>
        <w:numPr>
          <w:ilvl w:val="0"/>
          <w:numId w:val="1"/>
        </w:numPr>
        <w:rPr>
          <w:b/>
          <w:bCs/>
        </w:rPr>
      </w:pPr>
      <w:r w:rsidRPr="00817547">
        <w:rPr>
          <w:b/>
          <w:bCs/>
        </w:rPr>
        <w:t xml:space="preserve">Attachments </w:t>
      </w:r>
    </w:p>
    <w:p w14:paraId="74FBCE2C" w14:textId="06D759E2" w:rsidR="00904167" w:rsidRPr="00FE119D" w:rsidRDefault="00FE119D" w:rsidP="00904167">
      <w:pPr>
        <w:pStyle w:val="ListParagraph"/>
        <w:numPr>
          <w:ilvl w:val="1"/>
          <w:numId w:val="1"/>
        </w:numPr>
        <w:ind w:left="990" w:hanging="630"/>
      </w:pPr>
      <w:r w:rsidRPr="00FE119D">
        <w:t xml:space="preserve">N/A </w:t>
      </w:r>
    </w:p>
    <w:p w14:paraId="4830EE37" w14:textId="77777777" w:rsidR="00904167" w:rsidRPr="00904167" w:rsidRDefault="00904167" w:rsidP="00904167">
      <w:pPr>
        <w:pStyle w:val="ListParagraph"/>
        <w:ind w:left="990"/>
        <w:rPr>
          <w:color w:val="FF0000"/>
        </w:rPr>
      </w:pPr>
    </w:p>
    <w:p w14:paraId="45575CAD" w14:textId="5F5C4629" w:rsidR="00CB7E8D" w:rsidRPr="00817547" w:rsidRDefault="00CB7E8D" w:rsidP="00CB7E8D">
      <w:pPr>
        <w:pStyle w:val="ListParagraph"/>
        <w:numPr>
          <w:ilvl w:val="0"/>
          <w:numId w:val="1"/>
        </w:numPr>
        <w:rPr>
          <w:b/>
          <w:bCs/>
        </w:rPr>
      </w:pPr>
      <w:r w:rsidRPr="00817547">
        <w:rPr>
          <w:b/>
          <w:bCs/>
        </w:rPr>
        <w:t xml:space="preserve">History </w:t>
      </w:r>
    </w:p>
    <w:p w14:paraId="50113337" w14:textId="77777777" w:rsidR="003A7D05" w:rsidRDefault="003A7D05" w:rsidP="003A7D05">
      <w:pPr>
        <w:pStyle w:val="ListParagraph"/>
        <w:ind w:left="360"/>
      </w:pPr>
    </w:p>
    <w:tbl>
      <w:tblPr>
        <w:tblStyle w:val="TableGrid"/>
        <w:tblW w:w="0" w:type="auto"/>
        <w:tblInd w:w="360" w:type="dxa"/>
        <w:tblLook w:val="04A0" w:firstRow="1" w:lastRow="0" w:firstColumn="1" w:lastColumn="0" w:noHBand="0" w:noVBand="1"/>
      </w:tblPr>
      <w:tblGrid>
        <w:gridCol w:w="1615"/>
        <w:gridCol w:w="1890"/>
        <w:gridCol w:w="5485"/>
      </w:tblGrid>
      <w:tr w:rsidR="003A7D05" w14:paraId="573974C9" w14:textId="77777777" w:rsidTr="00AC7841">
        <w:tc>
          <w:tcPr>
            <w:tcW w:w="8990" w:type="dxa"/>
            <w:gridSpan w:val="3"/>
          </w:tcPr>
          <w:p w14:paraId="0A576E91" w14:textId="0D078986" w:rsidR="003A7D05" w:rsidRDefault="003A7D05" w:rsidP="003A7D05">
            <w:pPr>
              <w:pStyle w:val="ListParagraph"/>
              <w:ind w:left="0"/>
            </w:pPr>
            <w:r>
              <w:t xml:space="preserve">SOP: </w:t>
            </w:r>
            <w:r w:rsidRPr="006C1264">
              <w:rPr>
                <w:i/>
                <w:iCs/>
                <w:color w:val="FF0000"/>
              </w:rPr>
              <w:t xml:space="preserve">XX.XX: </w:t>
            </w:r>
            <w:r w:rsidRPr="00CB7E8D">
              <w:t xml:space="preserve">- Hazardous Drugs; </w:t>
            </w:r>
            <w:r w:rsidR="002E5EFA">
              <w:t>Non-Sterile Compounding</w:t>
            </w:r>
            <w:r>
              <w:t xml:space="preserve"> Revision History</w:t>
            </w:r>
          </w:p>
        </w:tc>
      </w:tr>
      <w:tr w:rsidR="003A7D05" w14:paraId="1CDD3561" w14:textId="77777777" w:rsidTr="003A7D05">
        <w:tc>
          <w:tcPr>
            <w:tcW w:w="1615" w:type="dxa"/>
          </w:tcPr>
          <w:p w14:paraId="52422121" w14:textId="0C1F9516" w:rsidR="003A7D05" w:rsidRDefault="003A7D05" w:rsidP="003A7D05">
            <w:pPr>
              <w:pStyle w:val="ListParagraph"/>
              <w:ind w:left="0"/>
              <w:jc w:val="center"/>
            </w:pPr>
            <w:r>
              <w:t>Date Approved</w:t>
            </w:r>
          </w:p>
        </w:tc>
        <w:tc>
          <w:tcPr>
            <w:tcW w:w="1890" w:type="dxa"/>
          </w:tcPr>
          <w:p w14:paraId="319A207D" w14:textId="2C461BFB" w:rsidR="003A7D05" w:rsidRDefault="003A7D05" w:rsidP="003A7D05">
            <w:pPr>
              <w:pStyle w:val="ListParagraph"/>
              <w:ind w:left="0"/>
              <w:jc w:val="center"/>
            </w:pPr>
            <w:r>
              <w:t>Version Number</w:t>
            </w:r>
          </w:p>
        </w:tc>
        <w:tc>
          <w:tcPr>
            <w:tcW w:w="5485" w:type="dxa"/>
          </w:tcPr>
          <w:p w14:paraId="4DFDCE39" w14:textId="05A9F6F7" w:rsidR="003A7D05" w:rsidRDefault="003A7D05" w:rsidP="003A7D05">
            <w:pPr>
              <w:pStyle w:val="ListParagraph"/>
              <w:ind w:left="0"/>
              <w:jc w:val="center"/>
            </w:pPr>
            <w:r>
              <w:t>Revision Summary</w:t>
            </w:r>
          </w:p>
        </w:tc>
      </w:tr>
      <w:tr w:rsidR="003A7D05" w14:paraId="2A0F2258" w14:textId="77777777" w:rsidTr="003A7D05">
        <w:tc>
          <w:tcPr>
            <w:tcW w:w="1615" w:type="dxa"/>
          </w:tcPr>
          <w:p w14:paraId="6D558774" w14:textId="6A6C75A0" w:rsidR="003A7D05" w:rsidRDefault="003A7D05" w:rsidP="003A7D05">
            <w:pPr>
              <w:pStyle w:val="ListParagraph"/>
              <w:ind w:left="0"/>
              <w:jc w:val="center"/>
            </w:pPr>
            <w:r w:rsidRPr="003A7D05">
              <w:rPr>
                <w:color w:val="FF0000"/>
              </w:rPr>
              <w:t>XX/XX/XXXX</w:t>
            </w:r>
          </w:p>
        </w:tc>
        <w:tc>
          <w:tcPr>
            <w:tcW w:w="1890" w:type="dxa"/>
          </w:tcPr>
          <w:p w14:paraId="15AA1731" w14:textId="1CA6AFD1" w:rsidR="003A7D05" w:rsidRDefault="003A7D05" w:rsidP="003A7D05">
            <w:pPr>
              <w:pStyle w:val="ListParagraph"/>
              <w:ind w:left="0"/>
              <w:jc w:val="center"/>
            </w:pPr>
            <w:r>
              <w:t>1</w:t>
            </w:r>
          </w:p>
        </w:tc>
        <w:tc>
          <w:tcPr>
            <w:tcW w:w="5485" w:type="dxa"/>
          </w:tcPr>
          <w:p w14:paraId="053A5658" w14:textId="35620326" w:rsidR="003A7D05" w:rsidRDefault="003A7D05" w:rsidP="003A7D05">
            <w:pPr>
              <w:pStyle w:val="ListParagraph"/>
              <w:ind w:left="0"/>
            </w:pPr>
            <w:r>
              <w:t xml:space="preserve">N/A – Origination </w:t>
            </w:r>
          </w:p>
        </w:tc>
      </w:tr>
      <w:tr w:rsidR="003A7D05" w14:paraId="0B23B543" w14:textId="77777777" w:rsidTr="003A7D05">
        <w:tc>
          <w:tcPr>
            <w:tcW w:w="1615" w:type="dxa"/>
          </w:tcPr>
          <w:p w14:paraId="21A56289" w14:textId="77777777" w:rsidR="003A7D05" w:rsidRDefault="003A7D05" w:rsidP="003A7D05">
            <w:pPr>
              <w:pStyle w:val="ListParagraph"/>
              <w:ind w:left="0"/>
              <w:jc w:val="center"/>
            </w:pPr>
          </w:p>
        </w:tc>
        <w:tc>
          <w:tcPr>
            <w:tcW w:w="1890" w:type="dxa"/>
          </w:tcPr>
          <w:p w14:paraId="33645328" w14:textId="77777777" w:rsidR="003A7D05" w:rsidRDefault="003A7D05" w:rsidP="003A7D05">
            <w:pPr>
              <w:pStyle w:val="ListParagraph"/>
              <w:ind w:left="0"/>
              <w:jc w:val="center"/>
            </w:pPr>
          </w:p>
        </w:tc>
        <w:tc>
          <w:tcPr>
            <w:tcW w:w="5485" w:type="dxa"/>
          </w:tcPr>
          <w:p w14:paraId="60C1F011" w14:textId="60EB067A" w:rsidR="003A7D05" w:rsidRDefault="003A7D05" w:rsidP="003A7D05">
            <w:pPr>
              <w:pStyle w:val="ListParagraph"/>
              <w:ind w:left="0"/>
            </w:pPr>
          </w:p>
        </w:tc>
      </w:tr>
    </w:tbl>
    <w:p w14:paraId="3235886D" w14:textId="77777777" w:rsidR="003A7D05" w:rsidRDefault="003A7D05" w:rsidP="003A7D05">
      <w:pPr>
        <w:pStyle w:val="ListParagraph"/>
        <w:ind w:left="360"/>
      </w:pPr>
    </w:p>
    <w:p w14:paraId="7C8DD256" w14:textId="1175E10D" w:rsidR="00817547" w:rsidRDefault="00817547" w:rsidP="00817547">
      <w:pPr>
        <w:pStyle w:val="ListParagraph"/>
        <w:ind w:left="360"/>
      </w:pPr>
    </w:p>
    <w:sectPr w:rsidR="00817547" w:rsidSect="00817547">
      <w:headerReference w:type="default" r:id="rId9"/>
      <w:footerReference w:type="default" r:id="rId10"/>
      <w:headerReference w:type="first" r:id="rId11"/>
      <w:footerReference w:type="first" r:id="rId12"/>
      <w:pgSz w:w="12240" w:h="15840"/>
      <w:pgMar w:top="1440" w:right="1440" w:bottom="1440" w:left="1440" w:header="360"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45F6F" w14:textId="77777777" w:rsidR="007628FE" w:rsidRDefault="007628FE" w:rsidP="00CB7E8D">
      <w:pPr>
        <w:spacing w:after="0" w:line="240" w:lineRule="auto"/>
      </w:pPr>
      <w:r>
        <w:separator/>
      </w:r>
    </w:p>
  </w:endnote>
  <w:endnote w:type="continuationSeparator" w:id="0">
    <w:p w14:paraId="3A6FD9E9" w14:textId="77777777" w:rsidR="007628FE" w:rsidRDefault="007628FE" w:rsidP="00CB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81521154"/>
      <w:docPartObj>
        <w:docPartGallery w:val="Page Numbers (Bottom of Page)"/>
        <w:docPartUnique/>
      </w:docPartObj>
    </w:sdtPr>
    <w:sdtEndPr/>
    <w:sdtContent>
      <w:sdt>
        <w:sdtPr>
          <w:rPr>
            <w:sz w:val="20"/>
            <w:szCs w:val="20"/>
          </w:rPr>
          <w:id w:val="-1659455725"/>
          <w:docPartObj>
            <w:docPartGallery w:val="Page Numbers (Top of Page)"/>
            <w:docPartUnique/>
          </w:docPartObj>
        </w:sdtPr>
        <w:sdtEndPr/>
        <w:sdtContent>
          <w:p w14:paraId="2026C018" w14:textId="1CE70D83" w:rsidR="003A7D05" w:rsidRDefault="003A7D05">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20732118" w14:textId="77777777" w:rsidR="003A7D05" w:rsidRDefault="003A7D05">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4863F8">
              <w:rPr>
                <w:b/>
                <w:bCs/>
                <w:noProof/>
                <w:sz w:val="20"/>
                <w:szCs w:val="20"/>
              </w:rPr>
              <w:t>3</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4863F8">
              <w:rPr>
                <w:b/>
                <w:bCs/>
                <w:noProof/>
                <w:sz w:val="20"/>
                <w:szCs w:val="20"/>
              </w:rPr>
              <w:t>3</w:t>
            </w:r>
            <w:r w:rsidRPr="003A7D05">
              <w:rPr>
                <w:b/>
                <w:bCs/>
                <w:sz w:val="20"/>
                <w:szCs w:val="20"/>
              </w:rPr>
              <w:fldChar w:fldCharType="end"/>
            </w:r>
          </w:p>
          <w:p w14:paraId="207B6F83" w14:textId="0589880D" w:rsidR="003A7D05" w:rsidRPr="00DE6B01" w:rsidRDefault="003A7D05" w:rsidP="00DE6B01">
            <w:pPr>
              <w:pStyle w:val="Footer"/>
              <w:jc w:val="center"/>
              <w:rPr>
                <w:sz w:val="20"/>
                <w:szCs w:val="20"/>
              </w:rPr>
            </w:pPr>
            <w:r>
              <w:rPr>
                <w:b/>
                <w:bCs/>
                <w:sz w:val="20"/>
                <w:szCs w:val="20"/>
              </w:rPr>
              <w:t>Confidential</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31186980"/>
      <w:docPartObj>
        <w:docPartGallery w:val="Page Numbers (Top of Page)"/>
        <w:docPartUnique/>
      </w:docPartObj>
    </w:sdtPr>
    <w:sdtEndPr/>
    <w:sdtContent>
      <w:p w14:paraId="438A6B83" w14:textId="77777777" w:rsidR="00DE6B01" w:rsidRDefault="00DE6B01" w:rsidP="00DE6B01">
        <w:pPr>
          <w:pStyle w:val="Footer"/>
          <w:jc w:val="center"/>
          <w:rPr>
            <w:sz w:val="20"/>
            <w:szCs w:val="20"/>
          </w:rPr>
        </w:pPr>
        <w:r>
          <w:rPr>
            <w:sz w:val="20"/>
            <w:szCs w:val="20"/>
          </w:rPr>
          <w:t xml:space="preserve">SOP </w:t>
        </w:r>
        <w:r w:rsidRPr="003A7D05">
          <w:rPr>
            <w:color w:val="FF0000"/>
            <w:sz w:val="20"/>
            <w:szCs w:val="20"/>
          </w:rPr>
          <w:t xml:space="preserve">XX.XX </w:t>
        </w:r>
        <w:r>
          <w:rPr>
            <w:sz w:val="20"/>
            <w:szCs w:val="20"/>
          </w:rPr>
          <w:t xml:space="preserve">V.1 </w:t>
        </w:r>
      </w:p>
      <w:p w14:paraId="304B6884" w14:textId="77777777" w:rsidR="00DE6B01" w:rsidRDefault="00DE6B01" w:rsidP="00DE6B01">
        <w:pPr>
          <w:pStyle w:val="Footer"/>
          <w:jc w:val="center"/>
          <w:rPr>
            <w:b/>
            <w:bCs/>
            <w:sz w:val="20"/>
            <w:szCs w:val="20"/>
          </w:rPr>
        </w:pPr>
        <w:r w:rsidRPr="003A7D05">
          <w:rPr>
            <w:sz w:val="20"/>
            <w:szCs w:val="20"/>
          </w:rPr>
          <w:t xml:space="preserve">Page </w:t>
        </w:r>
        <w:r w:rsidRPr="003A7D05">
          <w:rPr>
            <w:b/>
            <w:bCs/>
            <w:sz w:val="20"/>
            <w:szCs w:val="20"/>
          </w:rPr>
          <w:fldChar w:fldCharType="begin"/>
        </w:r>
        <w:r w:rsidRPr="003A7D05">
          <w:rPr>
            <w:b/>
            <w:bCs/>
            <w:sz w:val="20"/>
            <w:szCs w:val="20"/>
          </w:rPr>
          <w:instrText xml:space="preserve"> PAGE </w:instrText>
        </w:r>
        <w:r w:rsidRPr="003A7D05">
          <w:rPr>
            <w:b/>
            <w:bCs/>
            <w:sz w:val="20"/>
            <w:szCs w:val="20"/>
          </w:rPr>
          <w:fldChar w:fldCharType="separate"/>
        </w:r>
        <w:r w:rsidR="004863F8">
          <w:rPr>
            <w:b/>
            <w:bCs/>
            <w:noProof/>
            <w:sz w:val="20"/>
            <w:szCs w:val="20"/>
          </w:rPr>
          <w:t>1</w:t>
        </w:r>
        <w:r w:rsidRPr="003A7D05">
          <w:rPr>
            <w:b/>
            <w:bCs/>
            <w:sz w:val="20"/>
            <w:szCs w:val="20"/>
          </w:rPr>
          <w:fldChar w:fldCharType="end"/>
        </w:r>
        <w:r w:rsidRPr="003A7D05">
          <w:rPr>
            <w:sz w:val="20"/>
            <w:szCs w:val="20"/>
          </w:rPr>
          <w:t xml:space="preserve"> of </w:t>
        </w:r>
        <w:r w:rsidRPr="003A7D05">
          <w:rPr>
            <w:b/>
            <w:bCs/>
            <w:sz w:val="20"/>
            <w:szCs w:val="20"/>
          </w:rPr>
          <w:fldChar w:fldCharType="begin"/>
        </w:r>
        <w:r w:rsidRPr="003A7D05">
          <w:rPr>
            <w:b/>
            <w:bCs/>
            <w:sz w:val="20"/>
            <w:szCs w:val="20"/>
          </w:rPr>
          <w:instrText xml:space="preserve"> NUMPAGES  </w:instrText>
        </w:r>
        <w:r w:rsidRPr="003A7D05">
          <w:rPr>
            <w:b/>
            <w:bCs/>
            <w:sz w:val="20"/>
            <w:szCs w:val="20"/>
          </w:rPr>
          <w:fldChar w:fldCharType="separate"/>
        </w:r>
        <w:r w:rsidR="004863F8">
          <w:rPr>
            <w:b/>
            <w:bCs/>
            <w:noProof/>
            <w:sz w:val="20"/>
            <w:szCs w:val="20"/>
          </w:rPr>
          <w:t>3</w:t>
        </w:r>
        <w:r w:rsidRPr="003A7D05">
          <w:rPr>
            <w:b/>
            <w:bCs/>
            <w:sz w:val="20"/>
            <w:szCs w:val="20"/>
          </w:rPr>
          <w:fldChar w:fldCharType="end"/>
        </w:r>
      </w:p>
      <w:p w14:paraId="35CFD8F2" w14:textId="12198DE0" w:rsidR="00DE6B01" w:rsidRPr="00DE6B01" w:rsidRDefault="00DE6B01" w:rsidP="00DE6B01">
        <w:pPr>
          <w:pStyle w:val="Footer"/>
          <w:jc w:val="center"/>
          <w:rPr>
            <w:sz w:val="20"/>
            <w:szCs w:val="20"/>
          </w:rPr>
        </w:pPr>
        <w:r>
          <w:rPr>
            <w:b/>
            <w:bCs/>
            <w:sz w:val="20"/>
            <w:szCs w:val="20"/>
          </w:rPr>
          <w:t>Confidential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54A71" w14:textId="77777777" w:rsidR="007628FE" w:rsidRDefault="007628FE" w:rsidP="00CB7E8D">
      <w:pPr>
        <w:spacing w:after="0" w:line="240" w:lineRule="auto"/>
      </w:pPr>
      <w:r>
        <w:separator/>
      </w:r>
    </w:p>
  </w:footnote>
  <w:footnote w:type="continuationSeparator" w:id="0">
    <w:p w14:paraId="1E3775F8" w14:textId="77777777" w:rsidR="007628FE" w:rsidRDefault="007628FE" w:rsidP="00CB7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5" w:type="dxa"/>
      <w:tblLook w:val="04A0" w:firstRow="1" w:lastRow="0" w:firstColumn="1" w:lastColumn="0" w:noHBand="0" w:noVBand="1"/>
    </w:tblPr>
    <w:tblGrid>
      <w:gridCol w:w="5400"/>
      <w:gridCol w:w="3950"/>
    </w:tblGrid>
    <w:tr w:rsidR="002E5EFA" w14:paraId="3F02805C" w14:textId="77777777" w:rsidTr="00552199">
      <w:tc>
        <w:tcPr>
          <w:tcW w:w="9350" w:type="dxa"/>
          <w:gridSpan w:val="2"/>
        </w:tcPr>
        <w:p w14:paraId="288986BB" w14:textId="77777777" w:rsidR="002E5EFA" w:rsidRPr="00817547" w:rsidRDefault="002E5EFA" w:rsidP="002E5EFA">
          <w:pPr>
            <w:pStyle w:val="Header"/>
            <w:rPr>
              <w:color w:val="FF0000"/>
            </w:rPr>
          </w:pPr>
          <w:r w:rsidRPr="00817547">
            <w:rPr>
              <w:color w:val="FF0000"/>
            </w:rPr>
            <w:t>Company Name</w:t>
          </w:r>
        </w:p>
      </w:tc>
    </w:tr>
    <w:tr w:rsidR="002E5EFA" w14:paraId="63D29C2C" w14:textId="77777777" w:rsidTr="00552199">
      <w:tc>
        <w:tcPr>
          <w:tcW w:w="5400" w:type="dxa"/>
        </w:tcPr>
        <w:p w14:paraId="5E032DC0" w14:textId="77777777" w:rsidR="002E5EFA" w:rsidRDefault="002E5EFA" w:rsidP="002E5EFA">
          <w:pPr>
            <w:pStyle w:val="Header"/>
          </w:pPr>
          <w:r>
            <w:t xml:space="preserve">SOP: </w:t>
          </w:r>
          <w:r w:rsidRPr="006C1264">
            <w:rPr>
              <w:i/>
              <w:iCs/>
              <w:color w:val="FF0000"/>
            </w:rPr>
            <w:t xml:space="preserve">XX.XX: </w:t>
          </w:r>
          <w:r w:rsidRPr="00CB7E8D">
            <w:t>- Hazardous Drugs</w:t>
          </w:r>
          <w:r>
            <w:t>; Non-Sterile Compounding</w:t>
          </w:r>
        </w:p>
      </w:tc>
      <w:tc>
        <w:tcPr>
          <w:tcW w:w="3950" w:type="dxa"/>
        </w:tcPr>
        <w:p w14:paraId="3AFF00E8" w14:textId="77777777" w:rsidR="002E5EFA" w:rsidRDefault="002E5EFA" w:rsidP="002E5EFA">
          <w:pPr>
            <w:pStyle w:val="Header"/>
          </w:pPr>
          <w:r>
            <w:t>Version: 1</w:t>
          </w:r>
        </w:p>
      </w:tc>
    </w:tr>
    <w:tr w:rsidR="002E5EFA" w14:paraId="469F64EF" w14:textId="77777777" w:rsidTr="00552199">
      <w:tc>
        <w:tcPr>
          <w:tcW w:w="5400" w:type="dxa"/>
        </w:tcPr>
        <w:p w14:paraId="21BE204C" w14:textId="77777777" w:rsidR="002E5EFA" w:rsidRDefault="002E5EFA" w:rsidP="002E5EFA">
          <w:pPr>
            <w:pStyle w:val="Header"/>
          </w:pPr>
          <w:r>
            <w:t xml:space="preserve">Date Approved: </w:t>
          </w:r>
          <w:r w:rsidRPr="006C1264">
            <w:rPr>
              <w:color w:val="FF0000"/>
            </w:rPr>
            <w:t>XX/XX/XXXX</w:t>
          </w:r>
        </w:p>
      </w:tc>
      <w:tc>
        <w:tcPr>
          <w:tcW w:w="3950" w:type="dxa"/>
        </w:tcPr>
        <w:p w14:paraId="15E9D50F" w14:textId="77777777" w:rsidR="002E5EFA" w:rsidRDefault="002E5EFA" w:rsidP="002E5EFA">
          <w:pPr>
            <w:pStyle w:val="Header"/>
          </w:pPr>
          <w:r>
            <w:t xml:space="preserve">Approved by: </w:t>
          </w:r>
          <w:r w:rsidRPr="006C1264">
            <w:rPr>
              <w:color w:val="FF0000"/>
            </w:rPr>
            <w:t>Name of Designated Person</w:t>
          </w:r>
        </w:p>
      </w:tc>
    </w:tr>
  </w:tbl>
  <w:p w14:paraId="5AFA8AC5" w14:textId="77777777" w:rsidR="003A7D05" w:rsidRDefault="003A7D05" w:rsidP="002E5E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84BE1" w14:textId="77777777" w:rsidR="00817547" w:rsidRPr="003A7D05" w:rsidRDefault="00817547" w:rsidP="00817547">
    <w:pPr>
      <w:pStyle w:val="Header"/>
      <w:rPr>
        <w:color w:val="FF0000"/>
      </w:rPr>
    </w:pPr>
    <w:r w:rsidRPr="003A7D05">
      <w:rPr>
        <w:color w:val="FF0000"/>
      </w:rPr>
      <w:t xml:space="preserve">Insert </w:t>
    </w:r>
    <w:r>
      <w:rPr>
        <w:color w:val="FF0000"/>
      </w:rPr>
      <w:t xml:space="preserve">company </w:t>
    </w:r>
    <w:r w:rsidRPr="003A7D05">
      <w:rPr>
        <w:color w:val="FF0000"/>
      </w:rPr>
      <w:t>logo</w:t>
    </w:r>
    <w:r>
      <w:rPr>
        <w:color w:val="FF0000"/>
      </w:rPr>
      <w:t xml:space="preserve"> if desired </w:t>
    </w:r>
    <w:r w:rsidRPr="003A7D05">
      <w:rPr>
        <w:color w:val="FF0000"/>
      </w:rPr>
      <w:t xml:space="preserve"> </w:t>
    </w:r>
  </w:p>
  <w:p w14:paraId="5F63ABB6" w14:textId="77777777" w:rsidR="00817547" w:rsidRDefault="00817547" w:rsidP="00817547">
    <w:pPr>
      <w:pStyle w:val="Header"/>
    </w:pPr>
  </w:p>
  <w:tbl>
    <w:tblPr>
      <w:tblStyle w:val="TableGrid"/>
      <w:tblW w:w="0" w:type="auto"/>
      <w:tblInd w:w="-5" w:type="dxa"/>
      <w:tblLook w:val="04A0" w:firstRow="1" w:lastRow="0" w:firstColumn="1" w:lastColumn="0" w:noHBand="0" w:noVBand="1"/>
    </w:tblPr>
    <w:tblGrid>
      <w:gridCol w:w="5400"/>
      <w:gridCol w:w="3950"/>
    </w:tblGrid>
    <w:tr w:rsidR="00817547" w14:paraId="7F4912DE" w14:textId="77777777" w:rsidTr="00ED0ED0">
      <w:tc>
        <w:tcPr>
          <w:tcW w:w="9350" w:type="dxa"/>
          <w:gridSpan w:val="2"/>
        </w:tcPr>
        <w:p w14:paraId="0DBF4F12" w14:textId="77777777" w:rsidR="00817547" w:rsidRPr="00817547" w:rsidRDefault="00817547" w:rsidP="00817547">
          <w:pPr>
            <w:pStyle w:val="Header"/>
            <w:rPr>
              <w:color w:val="FF0000"/>
            </w:rPr>
          </w:pPr>
          <w:bookmarkStart w:id="1" w:name="_Hlk14016163"/>
          <w:r w:rsidRPr="00817547">
            <w:rPr>
              <w:color w:val="FF0000"/>
            </w:rPr>
            <w:t>Company Name</w:t>
          </w:r>
        </w:p>
      </w:tc>
    </w:tr>
    <w:tr w:rsidR="00817547" w14:paraId="2E00280E" w14:textId="77777777" w:rsidTr="000C614F">
      <w:tc>
        <w:tcPr>
          <w:tcW w:w="5400" w:type="dxa"/>
        </w:tcPr>
        <w:p w14:paraId="3165CABB" w14:textId="28C2E255" w:rsidR="00817547" w:rsidRDefault="00817547" w:rsidP="00817547">
          <w:pPr>
            <w:pStyle w:val="Header"/>
          </w:pPr>
          <w:r>
            <w:t xml:space="preserve">SOP: </w:t>
          </w:r>
          <w:r w:rsidRPr="006C1264">
            <w:rPr>
              <w:i/>
              <w:iCs/>
              <w:color w:val="FF0000"/>
            </w:rPr>
            <w:t xml:space="preserve">XX.XX: </w:t>
          </w:r>
          <w:r w:rsidRPr="00CB7E8D">
            <w:t>- Hazardous Drugs</w:t>
          </w:r>
          <w:r w:rsidR="00E33C82">
            <w:t xml:space="preserve">; </w:t>
          </w:r>
          <w:r w:rsidR="000C614F">
            <w:t>Non-Sterile Compounding</w:t>
          </w:r>
        </w:p>
      </w:tc>
      <w:tc>
        <w:tcPr>
          <w:tcW w:w="3950" w:type="dxa"/>
        </w:tcPr>
        <w:p w14:paraId="291F39FB" w14:textId="77777777" w:rsidR="00817547" w:rsidRDefault="00817547" w:rsidP="00817547">
          <w:pPr>
            <w:pStyle w:val="Header"/>
          </w:pPr>
          <w:r>
            <w:t>Version: 1</w:t>
          </w:r>
        </w:p>
      </w:tc>
    </w:tr>
    <w:tr w:rsidR="00817547" w14:paraId="40B82CF9" w14:textId="77777777" w:rsidTr="000C614F">
      <w:tc>
        <w:tcPr>
          <w:tcW w:w="5400" w:type="dxa"/>
        </w:tcPr>
        <w:p w14:paraId="570D5AB4" w14:textId="77777777" w:rsidR="00817547" w:rsidRDefault="00817547" w:rsidP="00817547">
          <w:pPr>
            <w:pStyle w:val="Header"/>
          </w:pPr>
          <w:r>
            <w:t xml:space="preserve">Date Approved: </w:t>
          </w:r>
          <w:r w:rsidRPr="006C1264">
            <w:rPr>
              <w:color w:val="FF0000"/>
            </w:rPr>
            <w:t>XX/XX/XXXX</w:t>
          </w:r>
        </w:p>
      </w:tc>
      <w:tc>
        <w:tcPr>
          <w:tcW w:w="3950" w:type="dxa"/>
        </w:tcPr>
        <w:p w14:paraId="365D9F61" w14:textId="77777777" w:rsidR="00817547" w:rsidRDefault="00817547" w:rsidP="00817547">
          <w:pPr>
            <w:pStyle w:val="Header"/>
          </w:pPr>
          <w:r>
            <w:t xml:space="preserve">Approved by: </w:t>
          </w:r>
          <w:r w:rsidRPr="006C1264">
            <w:rPr>
              <w:color w:val="FF0000"/>
            </w:rPr>
            <w:t>Name of Designated Person</w:t>
          </w:r>
        </w:p>
      </w:tc>
    </w:tr>
    <w:bookmarkEnd w:id="1"/>
  </w:tbl>
  <w:p w14:paraId="02B80738" w14:textId="77777777" w:rsidR="00817547" w:rsidRDefault="008175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37684"/>
    <w:multiLevelType w:val="multilevel"/>
    <w:tmpl w:val="32601B1E"/>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E8D"/>
    <w:rsid w:val="000C614F"/>
    <w:rsid w:val="000F52FC"/>
    <w:rsid w:val="00163518"/>
    <w:rsid w:val="001E310F"/>
    <w:rsid w:val="002B76DD"/>
    <w:rsid w:val="002E5EFA"/>
    <w:rsid w:val="003251DD"/>
    <w:rsid w:val="00372E75"/>
    <w:rsid w:val="003A7D05"/>
    <w:rsid w:val="003F33FC"/>
    <w:rsid w:val="00432253"/>
    <w:rsid w:val="00450591"/>
    <w:rsid w:val="004863F8"/>
    <w:rsid w:val="004E5657"/>
    <w:rsid w:val="00500B15"/>
    <w:rsid w:val="005916CA"/>
    <w:rsid w:val="005A1A44"/>
    <w:rsid w:val="005B13D3"/>
    <w:rsid w:val="005F1E7E"/>
    <w:rsid w:val="00600F17"/>
    <w:rsid w:val="0063615C"/>
    <w:rsid w:val="00646934"/>
    <w:rsid w:val="00654FFE"/>
    <w:rsid w:val="006968BB"/>
    <w:rsid w:val="006A21BD"/>
    <w:rsid w:val="006A4DF3"/>
    <w:rsid w:val="006C1264"/>
    <w:rsid w:val="006F1FDA"/>
    <w:rsid w:val="007420D9"/>
    <w:rsid w:val="007628FE"/>
    <w:rsid w:val="00817547"/>
    <w:rsid w:val="0084076E"/>
    <w:rsid w:val="008837AD"/>
    <w:rsid w:val="00890839"/>
    <w:rsid w:val="008A6151"/>
    <w:rsid w:val="00904167"/>
    <w:rsid w:val="00A02D8C"/>
    <w:rsid w:val="00A04F9B"/>
    <w:rsid w:val="00A05565"/>
    <w:rsid w:val="00A336FF"/>
    <w:rsid w:val="00A87551"/>
    <w:rsid w:val="00AA30C1"/>
    <w:rsid w:val="00B163D3"/>
    <w:rsid w:val="00BC3540"/>
    <w:rsid w:val="00BF4736"/>
    <w:rsid w:val="00C007C0"/>
    <w:rsid w:val="00CB7E8D"/>
    <w:rsid w:val="00CC4914"/>
    <w:rsid w:val="00CE66A0"/>
    <w:rsid w:val="00CF3475"/>
    <w:rsid w:val="00D318BA"/>
    <w:rsid w:val="00DE448E"/>
    <w:rsid w:val="00DE6B01"/>
    <w:rsid w:val="00E20800"/>
    <w:rsid w:val="00E33C82"/>
    <w:rsid w:val="00F416FA"/>
    <w:rsid w:val="00FA5C3E"/>
    <w:rsid w:val="00FB6026"/>
    <w:rsid w:val="00FC6F90"/>
    <w:rsid w:val="00FD56BF"/>
    <w:rsid w:val="00FE1016"/>
    <w:rsid w:val="00FE1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2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0F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8D"/>
  </w:style>
  <w:style w:type="paragraph" w:styleId="Footer">
    <w:name w:val="footer"/>
    <w:basedOn w:val="Normal"/>
    <w:link w:val="FooterChar"/>
    <w:uiPriority w:val="99"/>
    <w:unhideWhenUsed/>
    <w:rsid w:val="00CB7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8D"/>
  </w:style>
  <w:style w:type="table" w:styleId="TableGrid">
    <w:name w:val="Table Grid"/>
    <w:basedOn w:val="TableNormal"/>
    <w:uiPriority w:val="39"/>
    <w:rsid w:val="00CB7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E8D"/>
    <w:pPr>
      <w:ind w:left="720"/>
      <w:contextualSpacing/>
    </w:pPr>
  </w:style>
  <w:style w:type="paragraph" w:styleId="BalloonText">
    <w:name w:val="Balloon Text"/>
    <w:basedOn w:val="Normal"/>
    <w:link w:val="BalloonTextChar"/>
    <w:uiPriority w:val="99"/>
    <w:semiHidden/>
    <w:unhideWhenUsed/>
    <w:rsid w:val="000F5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AB25-087D-427F-A933-BCF33AFA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Ogle</dc:creator>
  <cp:keywords/>
  <dc:description/>
  <cp:lastModifiedBy>Valerie Kacian McCoy</cp:lastModifiedBy>
  <cp:revision>36</cp:revision>
  <cp:lastPrinted>2019-09-11T18:05:00Z</cp:lastPrinted>
  <dcterms:created xsi:type="dcterms:W3CDTF">2019-07-14T20:49:00Z</dcterms:created>
  <dcterms:modified xsi:type="dcterms:W3CDTF">2019-09-11T18:05:00Z</dcterms:modified>
</cp:coreProperties>
</file>